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A8D5" w14:textId="77777777" w:rsidR="00DE18B8" w:rsidRPr="00DE18B8" w:rsidRDefault="00DE18B8" w:rsidP="00DE18B8">
      <w:pPr>
        <w:rPr>
          <w:rFonts w:ascii="Times New Roman" w:hAnsi="Times New Roman"/>
          <w:b/>
          <w:szCs w:val="24"/>
        </w:rPr>
      </w:pPr>
      <w:r w:rsidRPr="00DE18B8">
        <w:rPr>
          <w:rFonts w:ascii="Times New Roman" w:hAnsi="Times New Roman"/>
          <w:b/>
          <w:szCs w:val="24"/>
        </w:rPr>
        <w:t>Det omsøkte tiltakets betydning</w:t>
      </w:r>
    </w:p>
    <w:p w14:paraId="0A3AE101" w14:textId="77777777" w:rsidR="00DE18B8" w:rsidRPr="00DE18B8" w:rsidRDefault="00DE18B8" w:rsidP="00DE18B8">
      <w:pPr>
        <w:rPr>
          <w:rFonts w:ascii="Times New Roman" w:hAnsi="Times New Roman"/>
          <w:szCs w:val="24"/>
        </w:rPr>
      </w:pPr>
      <w:r w:rsidRPr="00DE18B8">
        <w:rPr>
          <w:rFonts w:ascii="Times New Roman" w:hAnsi="Times New Roman"/>
          <w:szCs w:val="24"/>
        </w:rPr>
        <w:t>framgår av utdraget frå gruppas langsiktige strategiske plan</w:t>
      </w:r>
    </w:p>
    <w:p w14:paraId="0FD68CF4" w14:textId="77777777" w:rsidR="00DE18B8" w:rsidRPr="00DE18B8" w:rsidRDefault="00DE18B8" w:rsidP="00DE18B8">
      <w:pPr>
        <w:rPr>
          <w:rFonts w:ascii="Times New Roman" w:hAnsi="Times New Roman"/>
          <w:szCs w:val="24"/>
        </w:rPr>
      </w:pPr>
      <w:r w:rsidRPr="00DE18B8">
        <w:rPr>
          <w:rFonts w:ascii="Times New Roman" w:hAnsi="Times New Roman"/>
          <w:szCs w:val="24"/>
        </w:rPr>
        <w:t>(jfr. meir fyllestgjerande framstilling av forskingsplanen på TAS sine websider):</w:t>
      </w:r>
    </w:p>
    <w:p w14:paraId="34EA18D9" w14:textId="77777777" w:rsidR="00DE18B8" w:rsidRPr="00DE18B8" w:rsidRDefault="00DE18B8" w:rsidP="00DE18B8">
      <w:pPr>
        <w:rPr>
          <w:rFonts w:ascii="Times New Roman" w:hAnsi="Times New Roman"/>
          <w:szCs w:val="24"/>
        </w:rPr>
      </w:pPr>
    </w:p>
    <w:p w14:paraId="13C81D1E" w14:textId="77777777" w:rsidR="00DE18B8" w:rsidRPr="00DE18B8" w:rsidRDefault="00DE18B8" w:rsidP="00DE18B8">
      <w:pPr>
        <w:rPr>
          <w:rFonts w:ascii="Times New Roman" w:hAnsi="Times New Roman"/>
          <w:szCs w:val="24"/>
        </w:rPr>
      </w:pPr>
      <w:r w:rsidRPr="00DE18B8">
        <w:rPr>
          <w:rFonts w:ascii="Times New Roman" w:hAnsi="Times New Roman"/>
          <w:szCs w:val="24"/>
        </w:rPr>
        <w:t>Etter grunnutforskinga – innanfor TAS sine primære materiale-felt: moderne fiksjonsprosa, dramatikk, film, og visuell kunst – av performativt språk (textual action) i samhandling med så vel representerande som transformasjonelle-skapande topografiske mønster i 2010-boka, heldt TAS i 2014-boka fram med ei spesifikk utforsking av det doble, både representerande og transformasjonelt kreative forholdet mellom tekst og emosjonar. – Det logiske tredje steget tok TAS i 2017/2018-boka, som utforskar det komplekse forholdet mellom tekst og minner (som både gjengitte frå eit “arkiv”, men også og ikkje minst som transformerte og skapte gjennom erindringas komplekse dynamikk): I motsetnad til gjengs minne-forsking, kravde dette at forskingsbidraga i denne tredje boka samstundes forheld seg kritisk analyserande også overfor dei tekstlege minneprosessanes gjennomgåande mediale innkalfatring, i både gjengitte, omforma, og nyskapte medier. –  Det like logiske og nødvendige fjerde steget, i TAS sin nå operative fase IV med arbeidstittelen “Exploring Text and Materialities”, er å inkludere i TAS sitt formalt-tematiske nedslagsfelt ein serie med nærstudiar, innanfor fiksjonsprosa, dramatikk, film og visuell kunst, av det innfløkte forholdet mellom tekst og materialitetar:</w:t>
      </w:r>
    </w:p>
    <w:p w14:paraId="7F11CB08" w14:textId="77777777" w:rsidR="00DE18B8" w:rsidRDefault="00DE18B8" w:rsidP="00DE18B8">
      <w:pPr>
        <w:ind w:firstLine="720"/>
        <w:rPr>
          <w:rFonts w:ascii="Times New Roman" w:hAnsi="Times New Roman"/>
          <w:szCs w:val="24"/>
        </w:rPr>
      </w:pPr>
      <w:r w:rsidRPr="00DE18B8">
        <w:rPr>
          <w:rFonts w:ascii="Times New Roman" w:hAnsi="Times New Roman"/>
          <w:szCs w:val="24"/>
        </w:rPr>
        <w:t>Under sistnemnde finst ei brei vifte av moglege fokuspunkt formalt, tematisk og teoretisk, bl.a.: materielle former, sjanger- og medie-materialitetar, røyndomsmaterialitet, tingas/objektas roller i menneskeleg liv, historisk materialisme, historie-filosofisk materie, materielle kroppar, det blotte liv/“bare life”, kroppsfenomenologi, menneskeleg patologi og heling/terapi, sjukdom og liding, galskapens materialitet, livsmaterialitet (“vitalisme”), materiell slitasje formalt og tematisk, materialitetens nådelause rettferd, sublim materialitet, språkfilterlaus (u-kodert) materiell sansing, syn og visjonar, det poetiske/estetiske språkets performative materie, litteraturens-dramaets-filmens-bildets materialitet, dødens og Det Andres materielle mulighetsvilkår for og tildriv til nyskaping, det materielt handlande estetiske språkets funksjonar for skaping av og avgjerder om framtid, vennskap, sanning, og innsikt (“Truth/Democracy-to-Come”), osv.</w:t>
      </w:r>
    </w:p>
    <w:p w14:paraId="73C82615" w14:textId="77777777" w:rsidR="00DE18B8" w:rsidRDefault="00DE18B8" w:rsidP="00DE18B8">
      <w:pPr>
        <w:ind w:firstLine="720"/>
        <w:rPr>
          <w:rFonts w:ascii="Times New Roman" w:hAnsi="Times New Roman"/>
          <w:szCs w:val="24"/>
        </w:rPr>
      </w:pPr>
    </w:p>
    <w:p w14:paraId="47A96ED6" w14:textId="77777777" w:rsidR="00DE18B8" w:rsidRPr="00DE18B8" w:rsidRDefault="00DE18B8" w:rsidP="00DE18B8">
      <w:pPr>
        <w:ind w:firstLine="720"/>
        <w:rPr>
          <w:rFonts w:ascii="Times New Roman" w:hAnsi="Times New Roman"/>
          <w:i/>
          <w:szCs w:val="24"/>
        </w:rPr>
      </w:pPr>
      <w:r w:rsidRPr="00DE18B8">
        <w:rPr>
          <w:rFonts w:ascii="Times New Roman" w:hAnsi="Times New Roman"/>
          <w:i/>
          <w:szCs w:val="24"/>
        </w:rPr>
        <w:t>Legg til i lista over moglege materialities:</w:t>
      </w:r>
    </w:p>
    <w:p w14:paraId="4A0DD54B" w14:textId="77777777" w:rsidR="00DE18B8" w:rsidRPr="00DE18B8" w:rsidRDefault="00DE18B8" w:rsidP="00DE18B8">
      <w:pPr>
        <w:ind w:firstLine="720"/>
        <w:rPr>
          <w:rFonts w:ascii="Times New Roman" w:hAnsi="Times New Roman"/>
          <w:i/>
          <w:szCs w:val="24"/>
        </w:rPr>
      </w:pPr>
      <w:r w:rsidRPr="00DE18B8">
        <w:rPr>
          <w:rFonts w:ascii="Times New Roman" w:hAnsi="Times New Roman"/>
          <w:i/>
          <w:szCs w:val="24"/>
        </w:rPr>
        <w:t>performative materiality / material performativity</w:t>
      </w:r>
    </w:p>
    <w:p w14:paraId="6D9AAA41" w14:textId="77777777" w:rsidR="00DE18B8" w:rsidRPr="00DE18B8" w:rsidRDefault="00DE18B8" w:rsidP="00DE18B8">
      <w:pPr>
        <w:ind w:firstLine="720"/>
        <w:rPr>
          <w:rFonts w:ascii="Times New Roman" w:hAnsi="Times New Roman"/>
          <w:i/>
          <w:szCs w:val="24"/>
        </w:rPr>
      </w:pPr>
    </w:p>
    <w:p w14:paraId="6069DC87" w14:textId="4C54D5CB" w:rsidR="00DE18B8" w:rsidRDefault="00DE18B8" w:rsidP="00DE18B8">
      <w:pPr>
        <w:ind w:firstLine="720"/>
        <w:rPr>
          <w:rFonts w:ascii="Times New Roman" w:hAnsi="Times New Roman"/>
          <w:i/>
          <w:szCs w:val="24"/>
        </w:rPr>
      </w:pPr>
      <w:r w:rsidRPr="00DE18B8">
        <w:rPr>
          <w:rFonts w:ascii="Times New Roman" w:hAnsi="Times New Roman"/>
          <w:i/>
          <w:szCs w:val="24"/>
        </w:rPr>
        <w:t>medial materiality</w:t>
      </w:r>
    </w:p>
    <w:p w14:paraId="30CECBD5" w14:textId="77777777" w:rsidR="006B16B1" w:rsidRDefault="006B16B1" w:rsidP="00DE18B8">
      <w:pPr>
        <w:ind w:firstLine="720"/>
        <w:rPr>
          <w:rFonts w:ascii="Times New Roman" w:hAnsi="Times New Roman"/>
          <w:i/>
          <w:szCs w:val="24"/>
        </w:rPr>
      </w:pPr>
    </w:p>
    <w:p w14:paraId="086E7DDA" w14:textId="5972EF75" w:rsidR="006B16B1" w:rsidRDefault="006B16B1" w:rsidP="00DE18B8">
      <w:pPr>
        <w:ind w:firstLine="720"/>
        <w:rPr>
          <w:rFonts w:ascii="Times New Roman" w:hAnsi="Times New Roman"/>
          <w:i/>
          <w:szCs w:val="24"/>
        </w:rPr>
      </w:pPr>
      <w:r>
        <w:rPr>
          <w:rFonts w:ascii="Times New Roman" w:hAnsi="Times New Roman"/>
          <w:i/>
          <w:szCs w:val="24"/>
        </w:rPr>
        <w:t>Eller: tematisk val? Der kan mat. vere tematisk</w:t>
      </w:r>
    </w:p>
    <w:p w14:paraId="17B13C0F" w14:textId="77777777" w:rsidR="00E77638" w:rsidRDefault="00E77638" w:rsidP="00DE18B8">
      <w:pPr>
        <w:ind w:firstLine="720"/>
        <w:rPr>
          <w:rFonts w:ascii="Times New Roman" w:hAnsi="Times New Roman"/>
          <w:i/>
          <w:szCs w:val="24"/>
        </w:rPr>
      </w:pPr>
    </w:p>
    <w:p w14:paraId="0559C406" w14:textId="77777777" w:rsidR="00E77638" w:rsidRPr="00DE18B8" w:rsidRDefault="00E77638" w:rsidP="00DE18B8">
      <w:pPr>
        <w:ind w:firstLine="720"/>
        <w:rPr>
          <w:rFonts w:ascii="Times New Roman" w:hAnsi="Times New Roman"/>
          <w:i/>
          <w:szCs w:val="24"/>
        </w:rPr>
      </w:pPr>
    </w:p>
    <w:p w14:paraId="6943BE47" w14:textId="77777777" w:rsidR="00E77638" w:rsidRPr="00E77638" w:rsidRDefault="00E77638" w:rsidP="00E77638">
      <w:pPr>
        <w:ind w:firstLine="720"/>
        <w:rPr>
          <w:rFonts w:ascii="Times New Roman" w:hAnsi="Times New Roman"/>
          <w:i/>
          <w:szCs w:val="24"/>
        </w:rPr>
      </w:pPr>
      <w:r w:rsidRPr="00E77638">
        <w:rPr>
          <w:rFonts w:ascii="Times New Roman" w:hAnsi="Times New Roman"/>
          <w:i/>
          <w:szCs w:val="24"/>
        </w:rPr>
        <w:t>‘EXPL. TEXT AND MATERIALITIES':</w:t>
      </w:r>
    </w:p>
    <w:p w14:paraId="66E7880D" w14:textId="77777777" w:rsidR="00E77638" w:rsidRPr="00E77638" w:rsidRDefault="00E77638" w:rsidP="00E77638">
      <w:pPr>
        <w:ind w:firstLine="720"/>
        <w:rPr>
          <w:rFonts w:ascii="Times New Roman" w:hAnsi="Times New Roman"/>
          <w:i/>
          <w:szCs w:val="24"/>
        </w:rPr>
      </w:pPr>
      <w:r w:rsidRPr="00E77638">
        <w:rPr>
          <w:rFonts w:ascii="Times New Roman" w:hAnsi="Times New Roman"/>
          <w:i/>
          <w:szCs w:val="24"/>
        </w:rPr>
        <w:t>James Stuart: It Begins In the Book: Writing the material poem</w:t>
      </w:r>
    </w:p>
    <w:p w14:paraId="10A5D9BB" w14:textId="459E96BA" w:rsidR="00E77638" w:rsidRPr="00E77638" w:rsidRDefault="00E77638" w:rsidP="00E77638">
      <w:pPr>
        <w:ind w:firstLine="720"/>
        <w:rPr>
          <w:rFonts w:ascii="Times New Roman" w:hAnsi="Times New Roman"/>
          <w:i/>
          <w:szCs w:val="24"/>
        </w:rPr>
      </w:pPr>
    </w:p>
    <w:p w14:paraId="618273D3" w14:textId="57E1E89E" w:rsidR="00DE18B8" w:rsidRDefault="00E77638" w:rsidP="00E77638">
      <w:pPr>
        <w:ind w:firstLine="720"/>
        <w:rPr>
          <w:rFonts w:ascii="Times New Roman" w:hAnsi="Times New Roman"/>
          <w:i/>
          <w:szCs w:val="24"/>
        </w:rPr>
      </w:pPr>
      <w:r w:rsidRPr="00E77638">
        <w:rPr>
          <w:rFonts w:ascii="Times New Roman" w:hAnsi="Times New Roman"/>
          <w:i/>
          <w:szCs w:val="24"/>
        </w:rPr>
        <w:t>http://www.nongeneric.net/itbeginsinthebook/?p=49</w:t>
      </w:r>
    </w:p>
    <w:p w14:paraId="2C54CC2E" w14:textId="77777777" w:rsidR="00E77638" w:rsidRDefault="00E77638" w:rsidP="00E77638">
      <w:pPr>
        <w:ind w:firstLine="720"/>
        <w:rPr>
          <w:rFonts w:ascii="Times New Roman" w:hAnsi="Times New Roman"/>
          <w:szCs w:val="24"/>
        </w:rPr>
      </w:pPr>
    </w:p>
    <w:p w14:paraId="4B854325" w14:textId="348ADE55" w:rsidR="00164E86" w:rsidRDefault="00164E86" w:rsidP="00164E86">
      <w:pPr>
        <w:ind w:firstLine="720"/>
        <w:rPr>
          <w:rFonts w:ascii="Times New Roman" w:hAnsi="Times New Roman"/>
          <w:i/>
          <w:szCs w:val="24"/>
        </w:rPr>
      </w:pPr>
      <w:r w:rsidRPr="00164E86">
        <w:rPr>
          <w:rFonts w:ascii="Times New Roman" w:hAnsi="Times New Roman"/>
          <w:i/>
          <w:szCs w:val="24"/>
          <w:u w:val="single"/>
        </w:rPr>
        <w:t>Orbis Litterarum</w:t>
      </w:r>
      <w:r>
        <w:rPr>
          <w:rFonts w:ascii="Times New Roman" w:hAnsi="Times New Roman"/>
          <w:i/>
          <w:szCs w:val="24"/>
        </w:rPr>
        <w:t xml:space="preserve"> – Volume 74, Issue 19, Febr 2019</w:t>
      </w:r>
    </w:p>
    <w:p w14:paraId="25D1D11C" w14:textId="6F116EFF" w:rsidR="00164E86" w:rsidRDefault="00164E86" w:rsidP="00164E86">
      <w:pPr>
        <w:ind w:firstLine="720"/>
        <w:rPr>
          <w:rFonts w:ascii="Times New Roman" w:hAnsi="Times New Roman"/>
          <w:i/>
          <w:szCs w:val="24"/>
        </w:rPr>
      </w:pPr>
      <w:r>
        <w:rPr>
          <w:rFonts w:ascii="Times New Roman" w:hAnsi="Times New Roman"/>
          <w:i/>
          <w:szCs w:val="24"/>
        </w:rPr>
        <w:t>On Materiality and Affect of Reading</w:t>
      </w:r>
    </w:p>
    <w:p w14:paraId="3EF712AF" w14:textId="0D27D0E3" w:rsidR="00164E86" w:rsidRPr="00164E86" w:rsidRDefault="00164E86" w:rsidP="00E77638">
      <w:pPr>
        <w:ind w:firstLine="720"/>
        <w:rPr>
          <w:rFonts w:ascii="Times New Roman" w:hAnsi="Times New Roman"/>
          <w:i/>
          <w:szCs w:val="24"/>
        </w:rPr>
      </w:pPr>
      <w:r w:rsidRPr="00164E86">
        <w:rPr>
          <w:rFonts w:ascii="Times New Roman" w:hAnsi="Times New Roman"/>
          <w:i/>
          <w:szCs w:val="24"/>
        </w:rPr>
        <w:t>https://onlinelibrary.wiley.com/toc/16000730/2019/74/1</w:t>
      </w:r>
    </w:p>
    <w:p w14:paraId="3389811A" w14:textId="77777777" w:rsidR="00E77638" w:rsidRPr="00DE18B8" w:rsidRDefault="00E77638" w:rsidP="00E77638">
      <w:pPr>
        <w:ind w:firstLine="720"/>
        <w:rPr>
          <w:rFonts w:ascii="Times New Roman" w:hAnsi="Times New Roman"/>
          <w:szCs w:val="24"/>
        </w:rPr>
      </w:pPr>
      <w:bookmarkStart w:id="0" w:name="_GoBack"/>
      <w:bookmarkEnd w:id="0"/>
    </w:p>
    <w:p w14:paraId="68A6E884" w14:textId="77777777" w:rsidR="00DE18B8" w:rsidRPr="00DE18B8" w:rsidRDefault="00DE18B8" w:rsidP="00DE18B8">
      <w:pPr>
        <w:ind w:firstLine="720"/>
        <w:rPr>
          <w:rFonts w:ascii="Times New Roman" w:hAnsi="Times New Roman"/>
          <w:szCs w:val="24"/>
        </w:rPr>
      </w:pPr>
      <w:r w:rsidRPr="00DE18B8">
        <w:rPr>
          <w:rFonts w:ascii="Times New Roman" w:hAnsi="Times New Roman"/>
          <w:szCs w:val="24"/>
        </w:rPr>
        <w:t xml:space="preserve">Paris-workshopen i april 2019 vil vere ein særdeles viktig arena for TAS-forskarane å legge fram og å diskutere utkast til studiar av materialitetanes roller og betydning i eit breitt utval av performativt og topografisk handlande kunstnarlege tekststorleikar. Samtidig: ein like viktig </w:t>
      </w:r>
      <w:r w:rsidRPr="00DE18B8">
        <w:rPr>
          <w:rFonts w:ascii="Times New Roman" w:hAnsi="Times New Roman"/>
          <w:szCs w:val="24"/>
        </w:rPr>
        <w:lastRenderedPageBreak/>
        <w:t>arena for drøftingar av støttande teori og utvikling av ny teori. (Utkast til tentativt workshop-program er oversendt LLE i forrige søknad H2018.)</w:t>
      </w:r>
    </w:p>
    <w:p w14:paraId="454C7E74" w14:textId="6632FE78" w:rsidR="00A345A9" w:rsidRPr="00DE18B8" w:rsidRDefault="00DE18B8" w:rsidP="00DE18B8">
      <w:pPr>
        <w:rPr>
          <w:rFonts w:ascii="Times New Roman" w:hAnsi="Times New Roman"/>
          <w:szCs w:val="24"/>
        </w:rPr>
      </w:pPr>
      <w:r w:rsidRPr="00DE18B8">
        <w:rPr>
          <w:rFonts w:ascii="Times New Roman" w:hAnsi="Times New Roman"/>
          <w:szCs w:val="24"/>
        </w:rPr>
        <w:t>(For førebels aktuelle retningsval i deretter påfølgjande fasar av TAS, sjå kulepunktoversyn på TAS si UiB-webside.)</w:t>
      </w:r>
    </w:p>
    <w:sectPr w:rsidR="00A345A9" w:rsidRPr="00DE18B8" w:rsidSect="00D546F4">
      <w:headerReference w:type="even" r:id="rId8"/>
      <w:headerReference w:type="default" r:id="rId9"/>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3A6B80" w:rsidRDefault="003A6B80">
      <w:r>
        <w:separator/>
      </w:r>
    </w:p>
  </w:endnote>
  <w:endnote w:type="continuationSeparator" w:id="0">
    <w:p w14:paraId="01AEAA6A" w14:textId="77777777" w:rsidR="003A6B80" w:rsidRDefault="003A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3A6B80" w:rsidRDefault="003A6B80">
      <w:r>
        <w:separator/>
      </w:r>
    </w:p>
  </w:footnote>
  <w:footnote w:type="continuationSeparator" w:id="0">
    <w:p w14:paraId="3DD95291" w14:textId="77777777" w:rsidR="003A6B80" w:rsidRDefault="003A6B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A6B80" w:rsidRDefault="003A6B80">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64E86">
      <w:rPr>
        <w:rStyle w:val="Sidetall"/>
        <w:noProof/>
      </w:rPr>
      <w:t>2</w:t>
    </w:r>
    <w:r>
      <w:rPr>
        <w:rStyle w:val="Sidetall"/>
      </w:rPr>
      <w:fldChar w:fldCharType="end"/>
    </w:r>
  </w:p>
  <w:p w14:paraId="0F797F72" w14:textId="77777777" w:rsidR="003A6B80" w:rsidRDefault="003A6B80">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60A6C"/>
    <w:rsid w:val="00062326"/>
    <w:rsid w:val="00091A81"/>
    <w:rsid w:val="000962F0"/>
    <w:rsid w:val="000C1116"/>
    <w:rsid w:val="000D0845"/>
    <w:rsid w:val="000E0331"/>
    <w:rsid w:val="000E5114"/>
    <w:rsid w:val="0010348A"/>
    <w:rsid w:val="00123D31"/>
    <w:rsid w:val="00130FEA"/>
    <w:rsid w:val="00133141"/>
    <w:rsid w:val="00137EDF"/>
    <w:rsid w:val="00142ED2"/>
    <w:rsid w:val="00145341"/>
    <w:rsid w:val="00152CA2"/>
    <w:rsid w:val="001578E2"/>
    <w:rsid w:val="00164E86"/>
    <w:rsid w:val="0016784D"/>
    <w:rsid w:val="001806FA"/>
    <w:rsid w:val="00180B76"/>
    <w:rsid w:val="001838E0"/>
    <w:rsid w:val="00190563"/>
    <w:rsid w:val="001960E8"/>
    <w:rsid w:val="001A2AF6"/>
    <w:rsid w:val="001A44B6"/>
    <w:rsid w:val="001D1251"/>
    <w:rsid w:val="001E2C43"/>
    <w:rsid w:val="00257479"/>
    <w:rsid w:val="002873B8"/>
    <w:rsid w:val="002A2923"/>
    <w:rsid w:val="002D1BA5"/>
    <w:rsid w:val="002E7435"/>
    <w:rsid w:val="002F1B22"/>
    <w:rsid w:val="002F3502"/>
    <w:rsid w:val="003221A5"/>
    <w:rsid w:val="0032335E"/>
    <w:rsid w:val="00392C13"/>
    <w:rsid w:val="0039330B"/>
    <w:rsid w:val="003A6B80"/>
    <w:rsid w:val="003B59CA"/>
    <w:rsid w:val="003E33DE"/>
    <w:rsid w:val="00400BE0"/>
    <w:rsid w:val="00442A96"/>
    <w:rsid w:val="00451ECC"/>
    <w:rsid w:val="0049244A"/>
    <w:rsid w:val="004B73DE"/>
    <w:rsid w:val="004C3093"/>
    <w:rsid w:val="004C7EC0"/>
    <w:rsid w:val="004D4FE3"/>
    <w:rsid w:val="00504F4D"/>
    <w:rsid w:val="005201BC"/>
    <w:rsid w:val="005258FB"/>
    <w:rsid w:val="00544697"/>
    <w:rsid w:val="00557E10"/>
    <w:rsid w:val="00560A77"/>
    <w:rsid w:val="005611B4"/>
    <w:rsid w:val="00564E87"/>
    <w:rsid w:val="00570DF2"/>
    <w:rsid w:val="005761D8"/>
    <w:rsid w:val="00576CC1"/>
    <w:rsid w:val="00577D9C"/>
    <w:rsid w:val="00583CE6"/>
    <w:rsid w:val="005A2B72"/>
    <w:rsid w:val="005C1438"/>
    <w:rsid w:val="005D19B6"/>
    <w:rsid w:val="005D33EC"/>
    <w:rsid w:val="005E6F22"/>
    <w:rsid w:val="005F2EEE"/>
    <w:rsid w:val="006156F4"/>
    <w:rsid w:val="00617284"/>
    <w:rsid w:val="00627E51"/>
    <w:rsid w:val="00640477"/>
    <w:rsid w:val="00663367"/>
    <w:rsid w:val="006A2E95"/>
    <w:rsid w:val="006B16B1"/>
    <w:rsid w:val="006B70AC"/>
    <w:rsid w:val="006F50AC"/>
    <w:rsid w:val="0070566E"/>
    <w:rsid w:val="007069E0"/>
    <w:rsid w:val="00742B57"/>
    <w:rsid w:val="00795663"/>
    <w:rsid w:val="007A38E0"/>
    <w:rsid w:val="007A4F30"/>
    <w:rsid w:val="007B54D4"/>
    <w:rsid w:val="007D7301"/>
    <w:rsid w:val="00806FE5"/>
    <w:rsid w:val="0081738C"/>
    <w:rsid w:val="00834A9A"/>
    <w:rsid w:val="0086499D"/>
    <w:rsid w:val="008B5D43"/>
    <w:rsid w:val="008D11EF"/>
    <w:rsid w:val="008E58C3"/>
    <w:rsid w:val="009136E3"/>
    <w:rsid w:val="00921CAB"/>
    <w:rsid w:val="0093678A"/>
    <w:rsid w:val="009475DB"/>
    <w:rsid w:val="0096027C"/>
    <w:rsid w:val="009605A0"/>
    <w:rsid w:val="009712A3"/>
    <w:rsid w:val="00993143"/>
    <w:rsid w:val="00A02C09"/>
    <w:rsid w:val="00A0495C"/>
    <w:rsid w:val="00A11B15"/>
    <w:rsid w:val="00A33E68"/>
    <w:rsid w:val="00A345A9"/>
    <w:rsid w:val="00A75477"/>
    <w:rsid w:val="00AA5017"/>
    <w:rsid w:val="00B01AE0"/>
    <w:rsid w:val="00B01EF4"/>
    <w:rsid w:val="00B0726C"/>
    <w:rsid w:val="00B260FA"/>
    <w:rsid w:val="00B40547"/>
    <w:rsid w:val="00B50F21"/>
    <w:rsid w:val="00BB6C11"/>
    <w:rsid w:val="00BD0A8A"/>
    <w:rsid w:val="00BE3353"/>
    <w:rsid w:val="00BE6CBB"/>
    <w:rsid w:val="00BF7883"/>
    <w:rsid w:val="00C139D4"/>
    <w:rsid w:val="00C25549"/>
    <w:rsid w:val="00C34629"/>
    <w:rsid w:val="00C3639C"/>
    <w:rsid w:val="00C40B60"/>
    <w:rsid w:val="00C50778"/>
    <w:rsid w:val="00C5391F"/>
    <w:rsid w:val="00C54693"/>
    <w:rsid w:val="00CC44E8"/>
    <w:rsid w:val="00CC5D45"/>
    <w:rsid w:val="00CC6811"/>
    <w:rsid w:val="00D00FD2"/>
    <w:rsid w:val="00D0630A"/>
    <w:rsid w:val="00D14540"/>
    <w:rsid w:val="00D256A1"/>
    <w:rsid w:val="00D524F5"/>
    <w:rsid w:val="00D546F4"/>
    <w:rsid w:val="00D63179"/>
    <w:rsid w:val="00D76AE5"/>
    <w:rsid w:val="00DA5389"/>
    <w:rsid w:val="00DB1054"/>
    <w:rsid w:val="00DE18B8"/>
    <w:rsid w:val="00E32741"/>
    <w:rsid w:val="00E41797"/>
    <w:rsid w:val="00E4415E"/>
    <w:rsid w:val="00E4649A"/>
    <w:rsid w:val="00E5370E"/>
    <w:rsid w:val="00E61A29"/>
    <w:rsid w:val="00E631E9"/>
    <w:rsid w:val="00E6762C"/>
    <w:rsid w:val="00E77638"/>
    <w:rsid w:val="00EB374B"/>
    <w:rsid w:val="00EE25A9"/>
    <w:rsid w:val="00EF5B0C"/>
    <w:rsid w:val="00F02208"/>
    <w:rsid w:val="00F15691"/>
    <w:rsid w:val="00F26287"/>
    <w:rsid w:val="00F27820"/>
    <w:rsid w:val="00F613E4"/>
    <w:rsid w:val="00F63787"/>
    <w:rsid w:val="00F7474F"/>
    <w:rsid w:val="00F8730C"/>
    <w:rsid w:val="00FC0423"/>
    <w:rsid w:val="00FC2A30"/>
    <w:rsid w:val="00FD2F51"/>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2872</Characters>
  <Application>Microsoft Macintosh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5</cp:revision>
  <cp:lastPrinted>2008-11-27T22:52:00Z</cp:lastPrinted>
  <dcterms:created xsi:type="dcterms:W3CDTF">2019-08-08T15:55:00Z</dcterms:created>
  <dcterms:modified xsi:type="dcterms:W3CDTF">2019-08-08T16:03:00Z</dcterms:modified>
</cp:coreProperties>
</file>