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92.72727272727275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Linda Bjerga Vela, Bachelor ALLV254, våren 2021.</w:t>
      </w:r>
    </w:p>
    <w:p w:rsidR="00000000" w:rsidDel="00000000" w:rsidP="00000000" w:rsidRDefault="00000000" w:rsidRPr="00000000" w14:paraId="00000002">
      <w:pPr>
        <w:spacing w:line="392.72727272727275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Identitetstematikk og fortellemåte i romankunsten: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Analyse og sammenligning av Tarje Vesaas’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Fuglane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(1957) og Helga Flatlands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Bli hvis du kan. Reis hvis du må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(2010)</w:t>
      </w:r>
    </w:p>
    <w:p w:rsidR="00000000" w:rsidDel="00000000" w:rsidP="00000000" w:rsidRDefault="00000000" w:rsidRPr="00000000" w14:paraId="00000005">
      <w:pPr>
        <w:spacing w:line="392.7272727272727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92.7272727272727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Emne, materiale, og problemstilling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Romanen er en privilegert inngang til å forstå mennesker, deres indre, og forholdene mellom dem. I min bacheloroppgave vil jeg bruke denne inngangen til å undersøke hvordan identitet tematiseres og skapes i to ulike romaner, fra to ulike tidsepoker. Identitet skal i denne sammenheng bety “individets selvforståelse og posisjonering i relasjon til gruppefenomener som sosial, kulturell eller etnisk identitet”, slik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SNL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definerer begrepet i en sosialantropologisk forstand, og dermed skiller det fra bl.a. psykologisk identitet. Romanene jeg vil undersøke er Tarjei Vesaas’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Fuglane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(1957) og Helga Flatlands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Bli hvis du kan. Reis hvis du må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(2010). Hva er de to romanenes bud på hvordan mennesket i størst mulig grad kan kjenne seg fritt samtidig som det lever i samfunn med andre? Hvordan spiller fortellemåte og formspråk inn i fremstillingen av hovedpersonenes arbeid med identitetsposisjonering? Hva er de vesentligste likhetene og forskjellene mellom romanenes fremstilling av balansen mellom fast selvforståelse og skapende frigjøring? Synes noe å være blitt vesentlig forandret i romankunstens behandling av disse spørsmålene fra 1950-tallet til 2010?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å utforske disse problemstillingene og andre, vil det være relevant både å trekke inn Bakhtins tekst om romanen som sjanger, og å støtte seg til narrativ teori (Booth, Genette) i undersøkelsen av hva verkets sammensetning av figurer og konvensjoner gjør for fremstillingen av identitet i disse bøkene. I Flatlands roman synes fortellerperspektivet å være viktig; det gjør det òg 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Fuglane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hvor også symbolikk og motiv- og billedspråk synes å spille en vesentlig rolle. Ut over den teoretiske støtten, vil det analytiske arbeidet også sette seg av ifra og posisjonere seg i forhold til det man kan kalle verkenes forskningstradisjon: et utvalgt knippe av litteraturkritiske tekster og forskningsarbeider om de to romanene. En del av disse er også tatt med i pensumlisten, men her kan det komme flere etter hvert som jeg skaffer meg mer oversikt.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60" w:line="360" w:lineRule="auto"/>
        <w:ind w:right="-7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PENSUMLISTE – Foreløpig bibliografi med forbehold om endringer:</w:t>
      </w:r>
    </w:p>
    <w:p w:rsidR="00000000" w:rsidDel="00000000" w:rsidP="00000000" w:rsidRDefault="00000000" w:rsidRPr="00000000" w14:paraId="0000000C">
      <w:pPr>
        <w:spacing w:after="160" w:line="360" w:lineRule="auto"/>
        <w:ind w:right="-7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Teori:</w:t>
      </w:r>
    </w:p>
    <w:p w:rsidR="00000000" w:rsidDel="00000000" w:rsidP="00000000" w:rsidRDefault="00000000" w:rsidRPr="00000000" w14:paraId="0000000D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Genette, Gérard.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Narrative Discourse. An essay in method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Oversatt av Jane E. Lewin. New York: Cornell University Press, 1980.</w:t>
      </w:r>
    </w:p>
    <w:p w:rsidR="00000000" w:rsidDel="00000000" w:rsidP="00000000" w:rsidRDefault="00000000" w:rsidRPr="00000000" w14:paraId="0000000E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Booth, Wayne 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Rhetoric of Fiction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Chicago: University of Chicago Press, 1983.</w:t>
      </w:r>
    </w:p>
    <w:p w:rsidR="00000000" w:rsidDel="00000000" w:rsidP="00000000" w:rsidRDefault="00000000" w:rsidRPr="00000000" w14:paraId="00000010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Bakhtin, Mikhail. “Epos og roman: Om romanstudiets metodologi.” 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Moderne litteraturteori. En antologi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Redigert av Kittang, A., Linneberg, A., Melberg, A. &amp; Skei, Hans H, s. 119-141. Oslo: Universitetsforlaget, 2003.</w:t>
      </w:r>
    </w:p>
    <w:p w:rsidR="00000000" w:rsidDel="00000000" w:rsidP="00000000" w:rsidRDefault="00000000" w:rsidRPr="00000000" w14:paraId="00000012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Kittang, Atle. “Merknader til nokre grunntema i narratologien.” 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Sju artiklar om litteraturvitskap i går, i dag og (kanskje) i morgon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s.77-96. Oslo: Gyldendal, 2014.</w:t>
      </w:r>
    </w:p>
    <w:p w:rsidR="00000000" w:rsidDel="00000000" w:rsidP="00000000" w:rsidRDefault="00000000" w:rsidRPr="00000000" w14:paraId="00000014">
      <w:pPr>
        <w:spacing w:after="160" w:line="360" w:lineRule="auto"/>
        <w:ind w:right="-7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360" w:lineRule="auto"/>
        <w:ind w:right="-760"/>
        <w:rPr>
          <w:rFonts w:ascii="Times New Roman" w:cs="Times New Roman" w:eastAsia="Times New Roman" w:hAnsi="Times New Roman"/>
          <w:b w:val="1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rtl w:val="0"/>
        </w:rPr>
        <w:t xml:space="preserve">Litteratur fra forskningstradisjonen:</w:t>
      </w:r>
    </w:p>
    <w:p w:rsidR="00000000" w:rsidDel="00000000" w:rsidP="00000000" w:rsidRDefault="00000000" w:rsidRPr="00000000" w14:paraId="00000016">
      <w:pPr>
        <w:spacing w:line="360" w:lineRule="auto"/>
        <w:ind w:right="-7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 vil jeg sette sammen et knippe studier og artikler som er relevante for problemstillingene mine, og føye disse til i pensumlisten når jeg har fått oversikt over dem, tak i dem, og fått lest meg opp på dem. Pr i dag har jeg foreløpig de følgende arbeidene med her: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Johnsrud, Astrid. ”En politisk roman som ikke er politisk. Intertekstuelle referanser og samfunnsdiskurser i Helga Flatlands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Bli hvis du kan. Reis hvis du må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(Masteroppgave). Institutt for lingvistiske og nordiske studier. Det humanistiske faktultet: Universitetet i Oslo, 2011.  Hentet 10.02.2021 fra: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800080"/>
            <w:sz w:val="24"/>
            <w:szCs w:val="24"/>
            <w:u w:val="single"/>
            <w:rtl w:val="0"/>
          </w:rPr>
          <w:t xml:space="preserve">https://www.duo.uio.no/bitstream/handle/10852/26438/johnsrud_masteroppgave.pdf?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sequence=1</w:t>
      </w:r>
    </w:p>
    <w:p w:rsidR="00000000" w:rsidDel="00000000" w:rsidP="00000000" w:rsidRDefault="00000000" w:rsidRPr="00000000" w14:paraId="00000019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360" w:lineRule="auto"/>
        <w:ind w:left="1440" w:hanging="720"/>
        <w:rPr>
          <w:rFonts w:ascii="Times New Roman" w:cs="Times New Roman" w:eastAsia="Times New Roman" w:hAnsi="Times New Roman"/>
          <w:color w:val="80008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Nordmark, Kamilla Eikrem. “Det finnes en helhet. Tema og form i Helga Flatlands trilogi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Bli hvis du kan. Reis hvis du må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(2010),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Alle vil hjem. Ingen vil tilbake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(2011) og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Det finnes ingen helhet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(2013)”. (Masteroppgave). Institutt for lingvistiske og nordiske studier. Det humanistiske fakultet: Universitetet i Oslo, 2015. Hentet 14.02.2021 fra: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800080"/>
            <w:sz w:val="24"/>
            <w:szCs w:val="24"/>
            <w:u w:val="single"/>
            <w:rtl w:val="0"/>
          </w:rPr>
          <w:t xml:space="preserve">https://www.duo.uio.no/handle/10852/45076?show=full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60" w:lineRule="auto"/>
        <w:ind w:left="1440" w:hanging="720"/>
        <w:rPr>
          <w:rFonts w:ascii="Times New Roman" w:cs="Times New Roman" w:eastAsia="Times New Roman" w:hAnsi="Times New Roman"/>
          <w:color w:val="80008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Norheim, Marta. “Den bitre kunnskapen reisene gjev”. NRK.  2010, 15.01. Hentet 10.02.2021 fra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800080"/>
            <w:sz w:val="24"/>
            <w:szCs w:val="24"/>
            <w:u w:val="single"/>
            <w:rtl w:val="0"/>
          </w:rPr>
          <w:t xml:space="preserve">http://www.nrk.no/kultur/bok/bli-hvis-du-kan.-reis-hvis-du-ma.-1.6948172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Campbell, Nora. “Intervju med Helga Flatland”. Aschehoug Litteratur, 2013 s. 10-13. Hentet 10.02.2021 fra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800080"/>
            <w:sz w:val="24"/>
            <w:szCs w:val="24"/>
            <w:u w:val="single"/>
            <w:rtl w:val="0"/>
          </w:rPr>
          <w:t xml:space="preserve">http://issuu.com/aschehoug/docs/aschehoug_litteratur_h__st_2013/1?e=2026704/451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6787 .</w:t>
      </w:r>
    </w:p>
    <w:p w:rsidR="00000000" w:rsidDel="00000000" w:rsidP="00000000" w:rsidRDefault="00000000" w:rsidRPr="00000000" w14:paraId="0000001F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60" w:lineRule="auto"/>
        <w:ind w:left="1440" w:hanging="720"/>
        <w:rPr>
          <w:rFonts w:ascii="Times New Roman" w:cs="Times New Roman" w:eastAsia="Times New Roman" w:hAnsi="Times New Roman"/>
          <w:color w:val="80008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Gundersen, Per Christian. “Poeten som snublet over virkeligheten. En analyse av det humoristiske i Tarjei Vesaas’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Fuglane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”. (Masteroppgave). Institutt for lingvistiske og nordiske studier: Universitetet i Oslo, 2006. Hentet 17.02.2021 fra: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800080"/>
            <w:sz w:val="24"/>
            <w:szCs w:val="24"/>
            <w:u w:val="single"/>
            <w:rtl w:val="0"/>
          </w:rPr>
          <w:t xml:space="preserve">https://www.duo.uio.no/bitstream/handle/10852/26549/Komplettxmasteroppgave.pdf?sequence=2&amp;isAllowed=y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360" w:lineRule="auto"/>
        <w:ind w:left="1440" w:hanging="720"/>
        <w:rPr>
          <w:rFonts w:ascii="Times New Roman" w:cs="Times New Roman" w:eastAsia="Times New Roman" w:hAnsi="Times New Roman"/>
          <w:color w:val="80008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Solem, Hanne Line. “I møte med en fugl. Produksjon av identitet i Tarjei Vesaas’ roman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Fuglane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Edda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2003, nr. 1 (april 2003): s. 35-41. Hentet 17.02.2021 fra: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800080"/>
            <w:sz w:val="24"/>
            <w:szCs w:val="24"/>
            <w:u w:val="single"/>
            <w:rtl w:val="0"/>
          </w:rPr>
          <w:t xml:space="preserve">https://www-idunn-no.pva.uib.no/edda/2003/01/i_mote_med_en_fugl_produksjon_av_identitet_i_tarjei_vesaas_roman_fuglane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36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Sætre, Lars. “‘–Innbilling har du gjort’.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Fuglane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(1957) av Tarjei Vesaas som desillusjonsroman”. Audiogram 22. Bergen: Fjernord, Univisjon, Nordisk institutt, Universitetet i Bergen, 1993. 26 ss. © Lars Sætre 1993.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360" w:lineRule="auto"/>
        <w:ind w:right="-760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1f1e"/>
          <w:sz w:val="24"/>
          <w:szCs w:val="24"/>
          <w:rtl w:val="0"/>
        </w:rPr>
        <w:t xml:space="preserve">Skjønnlitteratur: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right="-7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Helga Flatland.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Bli hvis du kan. Reis hvis du må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(2010). Oslo: Aschehoug, 2010. </w:t>
      </w:r>
    </w:p>
    <w:p w:rsidR="00000000" w:rsidDel="00000000" w:rsidP="00000000" w:rsidRDefault="00000000" w:rsidRPr="00000000" w14:paraId="00000028">
      <w:pPr>
        <w:spacing w:line="360" w:lineRule="auto"/>
        <w:ind w:right="-760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360" w:lineRule="auto"/>
        <w:ind w:right="-760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Tarjei Vesaas.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1f1e"/>
          <w:sz w:val="24"/>
          <w:szCs w:val="24"/>
          <w:rtl w:val="0"/>
        </w:rPr>
        <w:t xml:space="preserve">Fuglane</w:t>
      </w: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 (1957). 7. utg. Oslo: Gyldendal Norsk Forlag, 2018.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-idunn-no.pva.uib.no/edda/2003/01/i_mote_med_en_fugl_produksjon_av_identitet_i_tarjei_vesaas_roman_fuglane" TargetMode="External"/><Relationship Id="rId10" Type="http://schemas.openxmlformats.org/officeDocument/2006/relationships/hyperlink" Target="https://www.duo.uio.no/bitstream/handle/10852/26549/Komplettxmasteroppgave.pdf?sequence=2&amp;isAllowed=y" TargetMode="External"/><Relationship Id="rId9" Type="http://schemas.openxmlformats.org/officeDocument/2006/relationships/hyperlink" Target="http://issuu.com/aschehoug/docs/aschehoug_litteratur_h__st_2013/1?e=2026704/45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uo.uio.no/bitstream/handle/10852/26438/johnsrud_masteroppgave.pdf?" TargetMode="External"/><Relationship Id="rId7" Type="http://schemas.openxmlformats.org/officeDocument/2006/relationships/hyperlink" Target="https://www.duo.uio.no/handle/10852/45076?show=full" TargetMode="External"/><Relationship Id="rId8" Type="http://schemas.openxmlformats.org/officeDocument/2006/relationships/hyperlink" Target="http://www.nrk.no/kultur/bok/bli-hvis-du-kan.-reis-hvis-du-ma.-1.6948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