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52968" w14:textId="31B97CB5" w:rsidR="00A85906" w:rsidRPr="0073349E" w:rsidRDefault="00A85906" w:rsidP="00A85906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Greimas, Algirdas Julien, og Joseph Courtés. “Sproghandling”; “Lokution: </w:t>
      </w:r>
      <w:r w:rsidRPr="0073349E">
        <w:rPr>
          <w:rFonts w:ascii="Times New Roman" w:hAnsi="Times New Roman"/>
          <w:i/>
          <w:sz w:val="18"/>
          <w:szCs w:val="18"/>
        </w:rPr>
        <w:t>faire-savoir</w:t>
      </w:r>
      <w:r w:rsidRPr="0073349E">
        <w:rPr>
          <w:rFonts w:ascii="Times New Roman" w:hAnsi="Times New Roman"/>
          <w:sz w:val="18"/>
          <w:szCs w:val="18"/>
        </w:rPr>
        <w:t xml:space="preserve">”; “”Illokution: </w:t>
      </w:r>
      <w:r w:rsidRPr="0073349E">
        <w:rPr>
          <w:rFonts w:ascii="Times New Roman" w:hAnsi="Times New Roman"/>
          <w:i/>
          <w:sz w:val="18"/>
          <w:szCs w:val="18"/>
        </w:rPr>
        <w:t>faire-être</w:t>
      </w:r>
      <w:r w:rsidRPr="0073349E">
        <w:rPr>
          <w:rFonts w:ascii="Times New Roman" w:hAnsi="Times New Roman"/>
          <w:sz w:val="18"/>
          <w:szCs w:val="18"/>
        </w:rPr>
        <w:t xml:space="preserve">”; “Perlokution: </w:t>
      </w:r>
      <w:r w:rsidRPr="0073349E">
        <w:rPr>
          <w:rFonts w:ascii="Times New Roman" w:hAnsi="Times New Roman"/>
          <w:i/>
          <w:sz w:val="18"/>
          <w:szCs w:val="18"/>
        </w:rPr>
        <w:t>faire-faire</w:t>
      </w:r>
      <w:r w:rsidRPr="0073349E">
        <w:rPr>
          <w:rFonts w:ascii="Times New Roman" w:hAnsi="Times New Roman"/>
          <w:sz w:val="18"/>
          <w:szCs w:val="18"/>
        </w:rPr>
        <w:t xml:space="preserve">”. </w:t>
      </w:r>
      <w:r w:rsidRPr="0073349E">
        <w:rPr>
          <w:rFonts w:ascii="Times New Roman" w:hAnsi="Times New Roman"/>
          <w:i/>
          <w:sz w:val="18"/>
          <w:szCs w:val="18"/>
        </w:rPr>
        <w:t>Semiotik. Sprogteoretisk ordbog</w:t>
      </w:r>
      <w:r w:rsidRPr="0073349E">
        <w:rPr>
          <w:rFonts w:ascii="Times New Roman" w:hAnsi="Times New Roman"/>
          <w:sz w:val="18"/>
          <w:szCs w:val="18"/>
        </w:rPr>
        <w:t xml:space="preserve">. Red. Brandt, Per Aage, og Ole Davidsen. Overs. Brandt, Per Aage </w:t>
      </w:r>
      <w:r w:rsidRPr="0073349E">
        <w:rPr>
          <w:rFonts w:ascii="Times New Roman" w:hAnsi="Times New Roman"/>
          <w:i/>
          <w:sz w:val="18"/>
          <w:szCs w:val="18"/>
        </w:rPr>
        <w:t>et al</w:t>
      </w:r>
      <w:r w:rsidRPr="0073349E">
        <w:rPr>
          <w:rFonts w:ascii="Times New Roman" w:hAnsi="Times New Roman"/>
          <w:sz w:val="18"/>
          <w:szCs w:val="18"/>
        </w:rPr>
        <w:t>. Aarhus: Aarhus Universitetsforlag, 1988. 239-240; 144; 89; 186-187.</w:t>
      </w:r>
    </w:p>
    <w:p w14:paraId="3D64E0EB" w14:textId="77777777" w:rsidR="006A02C6" w:rsidRPr="0073349E" w:rsidRDefault="006A02C6" w:rsidP="00A85906">
      <w:pPr>
        <w:ind w:left="720" w:hanging="720"/>
        <w:rPr>
          <w:rFonts w:ascii="Times New Roman" w:hAnsi="Times New Roman"/>
          <w:sz w:val="18"/>
          <w:szCs w:val="18"/>
        </w:rPr>
      </w:pPr>
    </w:p>
    <w:p w14:paraId="6A26A77D" w14:textId="77777777" w:rsidR="006A02C6" w:rsidRPr="0073349E" w:rsidRDefault="006A02C6" w:rsidP="006A02C6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Jakobson, Roman. ”Closing Statement: Linguistics and Poetics”. Sebeok, Thomas A. </w:t>
      </w:r>
      <w:r w:rsidRPr="0073349E">
        <w:rPr>
          <w:rFonts w:ascii="Times New Roman" w:hAnsi="Times New Roman"/>
          <w:i/>
          <w:sz w:val="18"/>
          <w:szCs w:val="18"/>
        </w:rPr>
        <w:t>Style in Language</w:t>
      </w:r>
      <w:r w:rsidRPr="0073349E">
        <w:rPr>
          <w:rFonts w:ascii="Times New Roman" w:hAnsi="Times New Roman"/>
          <w:sz w:val="18"/>
          <w:szCs w:val="18"/>
        </w:rPr>
        <w:t>. New York: Wiley, 1960. 350-377.</w:t>
      </w:r>
    </w:p>
    <w:p w14:paraId="67F44AD0" w14:textId="77777777" w:rsidR="006A02C6" w:rsidRPr="0073349E" w:rsidRDefault="006A02C6" w:rsidP="006A02C6">
      <w:pPr>
        <w:ind w:left="720" w:hanging="720"/>
        <w:rPr>
          <w:rFonts w:ascii="Times New Roman" w:hAnsi="Times New Roman"/>
          <w:sz w:val="18"/>
          <w:szCs w:val="18"/>
        </w:rPr>
      </w:pPr>
    </w:p>
    <w:p w14:paraId="6215673E" w14:textId="349291B5" w:rsidR="006A02C6" w:rsidRPr="0073349E" w:rsidRDefault="006A02C6" w:rsidP="006A02C6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–––––––. ”Shifters, Verbal Categories and the Russian Verb” [1957]. </w:t>
      </w:r>
      <w:r w:rsidRPr="0073349E">
        <w:rPr>
          <w:rFonts w:ascii="Times New Roman" w:hAnsi="Times New Roman"/>
          <w:i/>
          <w:sz w:val="18"/>
          <w:szCs w:val="18"/>
        </w:rPr>
        <w:t>Selected Writings II. Word and Language</w:t>
      </w:r>
      <w:r w:rsidRPr="0073349E">
        <w:rPr>
          <w:rFonts w:ascii="Times New Roman" w:hAnsi="Times New Roman"/>
          <w:sz w:val="18"/>
          <w:szCs w:val="18"/>
        </w:rPr>
        <w:t>. The Hague and Paris: Mouton, 1971. 130-147.</w:t>
      </w:r>
    </w:p>
    <w:p w14:paraId="07624171" w14:textId="77777777" w:rsidR="00A85906" w:rsidRPr="0073349E" w:rsidRDefault="00A85906" w:rsidP="00B1424A">
      <w:pPr>
        <w:ind w:left="720" w:hanging="720"/>
        <w:rPr>
          <w:rFonts w:ascii="Times New Roman" w:hAnsi="Times New Roman"/>
          <w:sz w:val="18"/>
          <w:szCs w:val="18"/>
        </w:rPr>
      </w:pPr>
    </w:p>
    <w:p w14:paraId="2D7C90CE" w14:textId="77777777" w:rsidR="00B1424A" w:rsidRPr="0073349E" w:rsidRDefault="00B1424A" w:rsidP="00B1424A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Austin, J.L. ”Performative Utterances”. </w:t>
      </w:r>
      <w:r w:rsidRPr="0073349E">
        <w:rPr>
          <w:rFonts w:ascii="Times New Roman" w:hAnsi="Times New Roman"/>
          <w:i/>
          <w:sz w:val="18"/>
          <w:szCs w:val="18"/>
        </w:rPr>
        <w:t>Philosophical Papers. The Works of J.L. Austin</w:t>
      </w:r>
      <w:r w:rsidRPr="0073349E">
        <w:rPr>
          <w:rFonts w:ascii="Times New Roman" w:hAnsi="Times New Roman"/>
          <w:sz w:val="18"/>
          <w:szCs w:val="18"/>
        </w:rPr>
        <w:t>. Oxford, 1961. 233-252.</w:t>
      </w:r>
    </w:p>
    <w:p w14:paraId="75D60330" w14:textId="77777777" w:rsidR="00A35A84" w:rsidRPr="0073349E" w:rsidRDefault="00A35A84" w:rsidP="008972A3">
      <w:pPr>
        <w:ind w:left="720" w:hanging="720"/>
        <w:rPr>
          <w:rFonts w:ascii="Times New Roman" w:hAnsi="Times New Roman"/>
          <w:sz w:val="18"/>
          <w:szCs w:val="18"/>
        </w:rPr>
      </w:pPr>
    </w:p>
    <w:p w14:paraId="105F5599" w14:textId="6905852B" w:rsidR="00B1424A" w:rsidRPr="0073349E" w:rsidRDefault="00B1424A" w:rsidP="00B1424A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–––––––. </w:t>
      </w:r>
      <w:r w:rsidRPr="0073349E">
        <w:rPr>
          <w:rFonts w:ascii="Times New Roman" w:hAnsi="Times New Roman"/>
          <w:i/>
          <w:sz w:val="18"/>
          <w:szCs w:val="18"/>
        </w:rPr>
        <w:t>How To Do Things with Words. The William James lectures delivered at Harvard University in 1955</w:t>
      </w:r>
      <w:r w:rsidRPr="0073349E">
        <w:rPr>
          <w:rFonts w:ascii="Times New Roman" w:hAnsi="Times New Roman"/>
          <w:sz w:val="18"/>
          <w:szCs w:val="18"/>
        </w:rPr>
        <w:t>. 2nd ed. Ed. J.O. Urmson and Marina Sbisà. Oxford: Clarendon Press, 1975.</w:t>
      </w:r>
    </w:p>
    <w:p w14:paraId="050C5495" w14:textId="77777777" w:rsidR="00B1424A" w:rsidRPr="0073349E" w:rsidRDefault="00B1424A" w:rsidP="008972A3">
      <w:pPr>
        <w:ind w:left="720" w:hanging="720"/>
        <w:rPr>
          <w:rFonts w:ascii="Times New Roman" w:hAnsi="Times New Roman"/>
          <w:sz w:val="18"/>
          <w:szCs w:val="18"/>
        </w:rPr>
      </w:pPr>
    </w:p>
    <w:p w14:paraId="622FFF0B" w14:textId="0CEE7BA8" w:rsidR="00A85906" w:rsidRPr="0073349E" w:rsidRDefault="00F84B8C" w:rsidP="00A85906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>Derrida, Jacques. “</w:t>
      </w:r>
      <w:r w:rsidR="00A85906" w:rsidRPr="0073349E">
        <w:rPr>
          <w:rFonts w:ascii="Times New Roman" w:hAnsi="Times New Roman"/>
          <w:sz w:val="18"/>
          <w:szCs w:val="18"/>
        </w:rPr>
        <w:t xml:space="preserve">Signature Event Context”. </w:t>
      </w:r>
      <w:r w:rsidR="00A85906" w:rsidRPr="0073349E">
        <w:rPr>
          <w:rFonts w:ascii="Times New Roman" w:hAnsi="Times New Roman"/>
          <w:i/>
          <w:sz w:val="18"/>
          <w:szCs w:val="18"/>
        </w:rPr>
        <w:t>Margins of Philosophy</w:t>
      </w:r>
      <w:r w:rsidR="00A85906" w:rsidRPr="0073349E">
        <w:rPr>
          <w:rFonts w:ascii="Times New Roman" w:hAnsi="Times New Roman"/>
          <w:sz w:val="18"/>
          <w:szCs w:val="18"/>
        </w:rPr>
        <w:t>. Trans. Bass, Alan. Chicago: The University of Chicago Press, 1982. 307-330.</w:t>
      </w:r>
    </w:p>
    <w:p w14:paraId="66406EFD" w14:textId="77777777" w:rsidR="00B1424A" w:rsidRPr="0073349E" w:rsidRDefault="00B1424A" w:rsidP="008972A3">
      <w:pPr>
        <w:ind w:left="720" w:hanging="720"/>
        <w:rPr>
          <w:rFonts w:ascii="Times New Roman" w:hAnsi="Times New Roman"/>
          <w:sz w:val="18"/>
          <w:szCs w:val="18"/>
        </w:rPr>
      </w:pPr>
    </w:p>
    <w:p w14:paraId="50EEC5F6" w14:textId="5F337E29" w:rsidR="00B1424A" w:rsidRPr="0073349E" w:rsidRDefault="00A85906" w:rsidP="00A85906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>Miller. J. Hill</w:t>
      </w:r>
      <w:r w:rsidR="00F84B8C" w:rsidRPr="0073349E">
        <w:rPr>
          <w:rFonts w:ascii="Times New Roman" w:hAnsi="Times New Roman"/>
          <w:sz w:val="18"/>
          <w:szCs w:val="18"/>
        </w:rPr>
        <w:t>is. “</w:t>
      </w:r>
      <w:r w:rsidRPr="0073349E">
        <w:rPr>
          <w:rFonts w:ascii="Times New Roman" w:hAnsi="Times New Roman"/>
          <w:sz w:val="18"/>
          <w:szCs w:val="18"/>
        </w:rPr>
        <w:t xml:space="preserve">Performativity 1 / Performativity 2”. Sætre, Lars; Patrizia Lombardo; and Anders M. Gullestad (eds). </w:t>
      </w:r>
      <w:r w:rsidRPr="0073349E">
        <w:rPr>
          <w:rFonts w:ascii="Times New Roman" w:hAnsi="Times New Roman"/>
          <w:i/>
          <w:sz w:val="18"/>
          <w:szCs w:val="18"/>
        </w:rPr>
        <w:t>Exploring Textual Action</w:t>
      </w:r>
      <w:r w:rsidRPr="0073349E">
        <w:rPr>
          <w:rFonts w:ascii="Times New Roman" w:hAnsi="Times New Roman"/>
          <w:sz w:val="18"/>
          <w:szCs w:val="18"/>
        </w:rPr>
        <w:t>. Aarhus: Aarhus University Press, 2010. 31-58.</w:t>
      </w:r>
    </w:p>
    <w:p w14:paraId="6E59EB7A" w14:textId="77777777" w:rsidR="00A85906" w:rsidRPr="0073349E" w:rsidRDefault="00A85906" w:rsidP="00A85906">
      <w:pPr>
        <w:ind w:left="720" w:hanging="720"/>
        <w:rPr>
          <w:rFonts w:ascii="Times New Roman" w:hAnsi="Times New Roman"/>
          <w:sz w:val="18"/>
          <w:szCs w:val="18"/>
        </w:rPr>
      </w:pPr>
    </w:p>
    <w:p w14:paraId="0AAB9A1D" w14:textId="13728870" w:rsidR="00A85906" w:rsidRPr="0073349E" w:rsidRDefault="00A85906" w:rsidP="00A85906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–––––––. </w:t>
      </w:r>
      <w:r w:rsidR="00F84B8C" w:rsidRPr="0073349E">
        <w:rPr>
          <w:rFonts w:ascii="Times New Roman" w:hAnsi="Times New Roman"/>
          <w:sz w:val="18"/>
          <w:szCs w:val="18"/>
        </w:rPr>
        <w:t>“</w:t>
      </w:r>
      <w:r w:rsidR="0006337D" w:rsidRPr="0073349E">
        <w:rPr>
          <w:rFonts w:ascii="Times New Roman" w:hAnsi="Times New Roman"/>
          <w:sz w:val="18"/>
          <w:szCs w:val="18"/>
        </w:rPr>
        <w:t xml:space="preserve">Two </w:t>
      </w:r>
      <w:r w:rsidR="00195EBB" w:rsidRPr="0073349E">
        <w:rPr>
          <w:rFonts w:ascii="Times New Roman" w:hAnsi="Times New Roman"/>
          <w:sz w:val="18"/>
          <w:szCs w:val="18"/>
        </w:rPr>
        <w:t>Forms</w:t>
      </w:r>
      <w:r w:rsidR="0006337D" w:rsidRPr="0073349E">
        <w:rPr>
          <w:rFonts w:ascii="Times New Roman" w:hAnsi="Times New Roman"/>
          <w:sz w:val="18"/>
          <w:szCs w:val="18"/>
        </w:rPr>
        <w:t xml:space="preserve"> of Repetition”</w:t>
      </w:r>
      <w:r w:rsidR="00195EBB" w:rsidRPr="0073349E">
        <w:rPr>
          <w:rFonts w:ascii="Times New Roman" w:hAnsi="Times New Roman"/>
          <w:sz w:val="18"/>
          <w:szCs w:val="18"/>
        </w:rPr>
        <w:t xml:space="preserve">. </w:t>
      </w:r>
      <w:r w:rsidR="00195EBB" w:rsidRPr="0073349E">
        <w:rPr>
          <w:rFonts w:ascii="Times New Roman" w:hAnsi="Times New Roman"/>
          <w:i/>
          <w:sz w:val="18"/>
          <w:szCs w:val="18"/>
        </w:rPr>
        <w:t>Fiction and Repetition. Seven English Novels</w:t>
      </w:r>
      <w:r w:rsidR="00195EBB" w:rsidRPr="0073349E">
        <w:rPr>
          <w:rFonts w:ascii="Times New Roman" w:hAnsi="Times New Roman"/>
          <w:sz w:val="18"/>
          <w:szCs w:val="18"/>
        </w:rPr>
        <w:t>. Oxford: Basil Blackwell, 1982. 1-21.</w:t>
      </w:r>
    </w:p>
    <w:p w14:paraId="02D694A7" w14:textId="77777777" w:rsidR="00746FEF" w:rsidRPr="0073349E" w:rsidRDefault="00746FEF" w:rsidP="00A85906">
      <w:pPr>
        <w:ind w:left="720" w:hanging="720"/>
        <w:rPr>
          <w:rFonts w:ascii="Times New Roman" w:hAnsi="Times New Roman"/>
          <w:sz w:val="18"/>
          <w:szCs w:val="18"/>
        </w:rPr>
      </w:pPr>
    </w:p>
    <w:p w14:paraId="7D117E97" w14:textId="4AC762AC" w:rsidR="00746FEF" w:rsidRPr="0073349E" w:rsidRDefault="00746FEF" w:rsidP="00A85906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–––––––. </w:t>
      </w:r>
      <w:r w:rsidR="00F84B8C" w:rsidRPr="0073349E">
        <w:rPr>
          <w:rFonts w:ascii="Times New Roman" w:hAnsi="Times New Roman"/>
          <w:sz w:val="18"/>
          <w:szCs w:val="18"/>
        </w:rPr>
        <w:t>“Introduction</w:t>
      </w:r>
      <w:r w:rsidR="00025BE6" w:rsidRPr="0073349E">
        <w:rPr>
          <w:rFonts w:ascii="Times New Roman" w:hAnsi="Times New Roman"/>
          <w:sz w:val="18"/>
          <w:szCs w:val="18"/>
        </w:rPr>
        <w:t xml:space="preserve">” [To grounded and ungrounded topographies]. </w:t>
      </w:r>
      <w:r w:rsidR="00025BE6" w:rsidRPr="0073349E">
        <w:rPr>
          <w:rFonts w:ascii="Times New Roman" w:hAnsi="Times New Roman"/>
          <w:i/>
          <w:sz w:val="18"/>
          <w:szCs w:val="18"/>
        </w:rPr>
        <w:t>Topographies</w:t>
      </w:r>
      <w:r w:rsidR="00025BE6" w:rsidRPr="0073349E">
        <w:rPr>
          <w:rFonts w:ascii="Times New Roman" w:hAnsi="Times New Roman"/>
          <w:sz w:val="18"/>
          <w:szCs w:val="18"/>
        </w:rPr>
        <w:t>. Stanford: Stanford University Press, 1995. 1-8.</w:t>
      </w:r>
    </w:p>
    <w:p w14:paraId="412886C7" w14:textId="77777777" w:rsidR="00025BE6" w:rsidRPr="0073349E" w:rsidRDefault="00025BE6" w:rsidP="00A85906">
      <w:pPr>
        <w:ind w:left="720" w:hanging="720"/>
        <w:rPr>
          <w:rFonts w:ascii="Times New Roman" w:hAnsi="Times New Roman"/>
          <w:sz w:val="18"/>
          <w:szCs w:val="18"/>
        </w:rPr>
      </w:pPr>
    </w:p>
    <w:p w14:paraId="5E214D47" w14:textId="5A1EA0D6" w:rsidR="00025BE6" w:rsidRPr="0073349E" w:rsidRDefault="00025BE6" w:rsidP="00A85906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>–––––––. “Philosophy, Literature, Topography: Heidegger and Hardy”.</w:t>
      </w:r>
      <w:r w:rsidR="00F05637" w:rsidRPr="0073349E">
        <w:rPr>
          <w:rFonts w:ascii="Times New Roman" w:hAnsi="Times New Roman"/>
          <w:sz w:val="18"/>
          <w:szCs w:val="18"/>
        </w:rPr>
        <w:t xml:space="preserve"> </w:t>
      </w:r>
      <w:r w:rsidR="00F05637" w:rsidRPr="0073349E">
        <w:rPr>
          <w:rFonts w:ascii="Times New Roman" w:hAnsi="Times New Roman"/>
          <w:i/>
          <w:sz w:val="18"/>
          <w:szCs w:val="18"/>
        </w:rPr>
        <w:t>Topographies</w:t>
      </w:r>
      <w:r w:rsidR="00F05637" w:rsidRPr="0073349E">
        <w:rPr>
          <w:rFonts w:ascii="Times New Roman" w:hAnsi="Times New Roman"/>
          <w:sz w:val="18"/>
          <w:szCs w:val="18"/>
        </w:rPr>
        <w:t xml:space="preserve">. Stanford: Stanford University Press, 1995. 9-56. [Evt. pluss andre kapitler i </w:t>
      </w:r>
      <w:r w:rsidR="00F05637" w:rsidRPr="0073349E">
        <w:rPr>
          <w:rFonts w:ascii="Times New Roman" w:hAnsi="Times New Roman"/>
          <w:i/>
          <w:sz w:val="18"/>
          <w:szCs w:val="18"/>
        </w:rPr>
        <w:t>Topographies</w:t>
      </w:r>
      <w:r w:rsidR="00F05637" w:rsidRPr="0073349E">
        <w:rPr>
          <w:rFonts w:ascii="Times New Roman" w:hAnsi="Times New Roman"/>
          <w:sz w:val="18"/>
          <w:szCs w:val="18"/>
        </w:rPr>
        <w:t>.]</w:t>
      </w:r>
    </w:p>
    <w:p w14:paraId="640D1E50" w14:textId="77777777" w:rsidR="00F05637" w:rsidRPr="0073349E" w:rsidRDefault="00F05637" w:rsidP="00A85906">
      <w:pPr>
        <w:ind w:left="720" w:hanging="720"/>
        <w:rPr>
          <w:rFonts w:ascii="Times New Roman" w:hAnsi="Times New Roman"/>
          <w:sz w:val="18"/>
          <w:szCs w:val="18"/>
        </w:rPr>
      </w:pPr>
    </w:p>
    <w:p w14:paraId="6650C478" w14:textId="1DE067F5" w:rsidR="00F05637" w:rsidRPr="0073349E" w:rsidRDefault="00D57A13" w:rsidP="00A85906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–––––––. “Paul de Man as Allergen”. Cohen, Tom </w:t>
      </w:r>
      <w:r w:rsidRPr="0073349E">
        <w:rPr>
          <w:rFonts w:ascii="Times New Roman" w:hAnsi="Times New Roman"/>
          <w:i/>
          <w:sz w:val="18"/>
          <w:szCs w:val="18"/>
        </w:rPr>
        <w:t>et al</w:t>
      </w:r>
      <w:r w:rsidRPr="0073349E">
        <w:rPr>
          <w:rFonts w:ascii="Times New Roman" w:hAnsi="Times New Roman"/>
          <w:sz w:val="18"/>
          <w:szCs w:val="18"/>
        </w:rPr>
        <w:t xml:space="preserve">. (eds.). </w:t>
      </w:r>
      <w:r w:rsidRPr="0073349E">
        <w:rPr>
          <w:rFonts w:ascii="Times New Roman" w:hAnsi="Times New Roman"/>
          <w:i/>
          <w:sz w:val="18"/>
          <w:szCs w:val="18"/>
        </w:rPr>
        <w:t>Material Events. Paul de Man and the Afterlife of Theory.</w:t>
      </w:r>
      <w:r w:rsidRPr="0073349E">
        <w:rPr>
          <w:rFonts w:ascii="Times New Roman" w:hAnsi="Times New Roman"/>
          <w:sz w:val="18"/>
          <w:szCs w:val="18"/>
        </w:rPr>
        <w:t xml:space="preserve"> Minneapolis/London: University of Minnesota Press, 2001. 183-204.</w:t>
      </w:r>
    </w:p>
    <w:p w14:paraId="7A63F5B5" w14:textId="77777777" w:rsidR="00C518B4" w:rsidRPr="0073349E" w:rsidRDefault="00C518B4" w:rsidP="00A85906">
      <w:pPr>
        <w:ind w:left="720" w:hanging="720"/>
        <w:rPr>
          <w:rFonts w:ascii="Times New Roman" w:hAnsi="Times New Roman"/>
          <w:sz w:val="18"/>
          <w:szCs w:val="18"/>
        </w:rPr>
      </w:pPr>
    </w:p>
    <w:p w14:paraId="5D0DA033" w14:textId="0347B278" w:rsidR="00C518B4" w:rsidRPr="0073349E" w:rsidRDefault="00C518B4" w:rsidP="00CF3379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Heidegger, Martin. </w:t>
      </w:r>
      <w:r w:rsidR="00CF3379" w:rsidRPr="0073349E">
        <w:rPr>
          <w:rFonts w:ascii="Times New Roman" w:hAnsi="Times New Roman"/>
          <w:sz w:val="18"/>
          <w:szCs w:val="18"/>
        </w:rPr>
        <w:t>“</w:t>
      </w:r>
      <w:r w:rsidRPr="0073349E">
        <w:rPr>
          <w:rFonts w:ascii="Times New Roman" w:hAnsi="Times New Roman"/>
          <w:sz w:val="18"/>
          <w:szCs w:val="18"/>
        </w:rPr>
        <w:t>The Origin of the Work of Art</w:t>
      </w:r>
      <w:r w:rsidR="00CF3379" w:rsidRPr="0073349E">
        <w:rPr>
          <w:rFonts w:ascii="Times New Roman" w:hAnsi="Times New Roman"/>
          <w:sz w:val="18"/>
          <w:szCs w:val="18"/>
        </w:rPr>
        <w:t xml:space="preserve">”. </w:t>
      </w:r>
      <w:r w:rsidR="00CF3379" w:rsidRPr="0073349E">
        <w:rPr>
          <w:rFonts w:ascii="Times New Roman" w:hAnsi="Times New Roman"/>
          <w:i/>
          <w:sz w:val="18"/>
          <w:szCs w:val="18"/>
        </w:rPr>
        <w:t>Poetry, Language, Thought</w:t>
      </w:r>
      <w:r w:rsidR="00CF3379" w:rsidRPr="0073349E">
        <w:rPr>
          <w:rFonts w:ascii="Times New Roman" w:hAnsi="Times New Roman"/>
          <w:sz w:val="18"/>
          <w:szCs w:val="18"/>
        </w:rPr>
        <w:t>. Trans. Hofstadter, Albert. New York: Harper &amp; Row, 1971. 15-87.</w:t>
      </w:r>
    </w:p>
    <w:p w14:paraId="14F50BEB" w14:textId="77777777" w:rsidR="00CF3379" w:rsidRPr="0073349E" w:rsidRDefault="00CF3379" w:rsidP="00CF3379">
      <w:pPr>
        <w:ind w:left="720" w:hanging="720"/>
        <w:rPr>
          <w:rFonts w:ascii="Times New Roman" w:hAnsi="Times New Roman"/>
          <w:sz w:val="18"/>
          <w:szCs w:val="18"/>
        </w:rPr>
      </w:pPr>
    </w:p>
    <w:p w14:paraId="2ACA7C06" w14:textId="1253B428" w:rsidR="00CF3379" w:rsidRPr="0073349E" w:rsidRDefault="00CF3379" w:rsidP="00CF3379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–––––––. “Building Dwelling Thinking”. </w:t>
      </w:r>
      <w:r w:rsidRPr="0073349E">
        <w:rPr>
          <w:rFonts w:ascii="Times New Roman" w:hAnsi="Times New Roman"/>
          <w:i/>
          <w:sz w:val="18"/>
          <w:szCs w:val="18"/>
        </w:rPr>
        <w:t>Poetry, Language, Thought</w:t>
      </w:r>
      <w:r w:rsidRPr="0073349E">
        <w:rPr>
          <w:rFonts w:ascii="Times New Roman" w:hAnsi="Times New Roman"/>
          <w:sz w:val="18"/>
          <w:szCs w:val="18"/>
        </w:rPr>
        <w:t>. Trans. Hofstadter, Albert. New York: Harper &amp; Row, 1971. 143-161.</w:t>
      </w:r>
    </w:p>
    <w:p w14:paraId="303320DF" w14:textId="77777777" w:rsidR="00CF3379" w:rsidRPr="0073349E" w:rsidRDefault="00CF3379" w:rsidP="00CF3379">
      <w:pPr>
        <w:ind w:left="720" w:hanging="720"/>
        <w:rPr>
          <w:rFonts w:ascii="Times New Roman" w:hAnsi="Times New Roman"/>
          <w:sz w:val="18"/>
          <w:szCs w:val="18"/>
        </w:rPr>
      </w:pPr>
    </w:p>
    <w:p w14:paraId="3480E9A6" w14:textId="1F61B354" w:rsidR="00CF3379" w:rsidRPr="0073349E" w:rsidRDefault="00CF3379" w:rsidP="00CF3379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–––––––. “The Thing”. </w:t>
      </w:r>
      <w:r w:rsidRPr="0073349E">
        <w:rPr>
          <w:rFonts w:ascii="Times New Roman" w:hAnsi="Times New Roman"/>
          <w:i/>
          <w:sz w:val="18"/>
          <w:szCs w:val="18"/>
        </w:rPr>
        <w:t>Poetry, Language, Thought</w:t>
      </w:r>
      <w:r w:rsidRPr="0073349E">
        <w:rPr>
          <w:rFonts w:ascii="Times New Roman" w:hAnsi="Times New Roman"/>
          <w:sz w:val="18"/>
          <w:szCs w:val="18"/>
        </w:rPr>
        <w:t>. Trans. Hofstadter, Albert. New York: Harper &amp; Row, 1971. 163-186.</w:t>
      </w:r>
    </w:p>
    <w:p w14:paraId="617151E3" w14:textId="77777777" w:rsidR="00E647D4" w:rsidRPr="0073349E" w:rsidRDefault="00E647D4" w:rsidP="00CF3379">
      <w:pPr>
        <w:ind w:left="720" w:hanging="720"/>
        <w:rPr>
          <w:rFonts w:ascii="Times New Roman" w:hAnsi="Times New Roman"/>
          <w:sz w:val="18"/>
          <w:szCs w:val="18"/>
        </w:rPr>
      </w:pPr>
    </w:p>
    <w:p w14:paraId="4F6C2599" w14:textId="2CFF2B7C" w:rsidR="006446C9" w:rsidRPr="0073349E" w:rsidRDefault="00E647D4" w:rsidP="0073349E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Kant, Immanuel. </w:t>
      </w:r>
      <w:r w:rsidRPr="0073349E">
        <w:rPr>
          <w:rFonts w:ascii="Times New Roman" w:hAnsi="Times New Roman"/>
          <w:i/>
          <w:sz w:val="18"/>
          <w:szCs w:val="18"/>
        </w:rPr>
        <w:t>Critique of Judgment</w:t>
      </w:r>
      <w:r w:rsidRPr="0073349E">
        <w:rPr>
          <w:rFonts w:ascii="Times New Roman" w:hAnsi="Times New Roman"/>
          <w:sz w:val="18"/>
          <w:szCs w:val="18"/>
        </w:rPr>
        <w:t>. Trans. Pluhar, Werner S. Indianapolis/Cambridge: Hackett, 1987.</w:t>
      </w:r>
    </w:p>
    <w:p w14:paraId="02EB4EC1" w14:textId="77777777" w:rsidR="006446C9" w:rsidRPr="0073349E" w:rsidRDefault="006446C9" w:rsidP="008972A3">
      <w:pPr>
        <w:ind w:left="720" w:hanging="720"/>
        <w:rPr>
          <w:rFonts w:ascii="Times New Roman" w:hAnsi="Times New Roman"/>
          <w:sz w:val="18"/>
          <w:szCs w:val="18"/>
        </w:rPr>
      </w:pPr>
    </w:p>
    <w:p w14:paraId="2E452C51" w14:textId="0828BCD2" w:rsidR="008972A3" w:rsidRPr="0073349E" w:rsidRDefault="008972A3" w:rsidP="00EB132C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>Sætre, Lars; Patrizia Lombardo; and Anders M. Gullestad (eds</w:t>
      </w:r>
      <w:r w:rsidR="00D57A13" w:rsidRPr="0073349E">
        <w:rPr>
          <w:rFonts w:ascii="Times New Roman" w:hAnsi="Times New Roman"/>
          <w:sz w:val="18"/>
          <w:szCs w:val="18"/>
        </w:rPr>
        <w:t>.</w:t>
      </w:r>
      <w:r w:rsidRPr="0073349E">
        <w:rPr>
          <w:rFonts w:ascii="Times New Roman" w:hAnsi="Times New Roman"/>
          <w:sz w:val="18"/>
          <w:szCs w:val="18"/>
        </w:rPr>
        <w:t xml:space="preserve">). </w:t>
      </w:r>
      <w:r w:rsidRPr="0073349E">
        <w:rPr>
          <w:rFonts w:ascii="Times New Roman" w:hAnsi="Times New Roman"/>
          <w:i/>
          <w:sz w:val="18"/>
          <w:szCs w:val="18"/>
        </w:rPr>
        <w:t>Exploring Textual Action</w:t>
      </w:r>
      <w:r w:rsidRPr="0073349E">
        <w:rPr>
          <w:rFonts w:ascii="Times New Roman" w:hAnsi="Times New Roman"/>
          <w:sz w:val="18"/>
          <w:szCs w:val="18"/>
        </w:rPr>
        <w:t>. Aarhus: Aarhu</w:t>
      </w:r>
      <w:r w:rsidR="005A5982" w:rsidRPr="0073349E">
        <w:rPr>
          <w:rFonts w:ascii="Times New Roman" w:hAnsi="Times New Roman"/>
          <w:sz w:val="18"/>
          <w:szCs w:val="18"/>
        </w:rPr>
        <w:t>s University Press, 2010.</w:t>
      </w:r>
    </w:p>
    <w:p w14:paraId="3F32E68D" w14:textId="77777777" w:rsidR="00675E32" w:rsidRPr="0073349E" w:rsidRDefault="00675E32" w:rsidP="008972A3">
      <w:pPr>
        <w:ind w:left="720" w:hanging="720"/>
        <w:rPr>
          <w:rFonts w:ascii="Times New Roman" w:hAnsi="Times New Roman"/>
          <w:sz w:val="18"/>
          <w:szCs w:val="18"/>
        </w:rPr>
      </w:pPr>
    </w:p>
    <w:p w14:paraId="1EC376C8" w14:textId="5F2ADD7D" w:rsidR="00675E32" w:rsidRPr="0073349E" w:rsidRDefault="00675E32" w:rsidP="00675E32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Sætre, Lars; Patrizia Lombardo; and Julien Zanetta (eds). </w:t>
      </w:r>
      <w:r w:rsidRPr="0073349E">
        <w:rPr>
          <w:rFonts w:ascii="Times New Roman" w:hAnsi="Times New Roman"/>
          <w:i/>
          <w:sz w:val="18"/>
          <w:szCs w:val="18"/>
        </w:rPr>
        <w:t>Exploring Text and Emotions</w:t>
      </w:r>
      <w:r w:rsidRPr="0073349E">
        <w:rPr>
          <w:rFonts w:ascii="Times New Roman" w:hAnsi="Times New Roman"/>
          <w:sz w:val="18"/>
          <w:szCs w:val="18"/>
        </w:rPr>
        <w:t>. Aarhus: Aarhus University Press, 2014.</w:t>
      </w:r>
    </w:p>
    <w:p w14:paraId="4C1BDB17" w14:textId="77777777" w:rsidR="00675E32" w:rsidRPr="0073349E" w:rsidRDefault="00675E32" w:rsidP="00675E32">
      <w:pPr>
        <w:ind w:left="720" w:hanging="720"/>
        <w:rPr>
          <w:rFonts w:ascii="Times New Roman" w:hAnsi="Times New Roman"/>
          <w:sz w:val="18"/>
          <w:szCs w:val="18"/>
        </w:rPr>
      </w:pPr>
    </w:p>
    <w:p w14:paraId="63B0EF33" w14:textId="36834F2D" w:rsidR="00675E32" w:rsidRPr="0073349E" w:rsidRDefault="00675E32" w:rsidP="00675E32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Sætre, Lars; Patrizia Lombardo; and Sara Tanderup Linkis (eds). </w:t>
      </w:r>
      <w:r w:rsidRPr="0073349E">
        <w:rPr>
          <w:rFonts w:ascii="Times New Roman" w:hAnsi="Times New Roman"/>
          <w:i/>
          <w:sz w:val="18"/>
          <w:szCs w:val="18"/>
        </w:rPr>
        <w:t>Exploring Text, Media, and Memory</w:t>
      </w:r>
      <w:r w:rsidRPr="0073349E">
        <w:rPr>
          <w:rFonts w:ascii="Times New Roman" w:hAnsi="Times New Roman"/>
          <w:sz w:val="18"/>
          <w:szCs w:val="18"/>
        </w:rPr>
        <w:t>. Aarhus: Aarhus University Press, 2017.</w:t>
      </w:r>
    </w:p>
    <w:p w14:paraId="0FB3C4AA" w14:textId="77777777" w:rsidR="00DF6BCC" w:rsidRPr="0073349E" w:rsidRDefault="00DF6BCC" w:rsidP="00675E32">
      <w:pPr>
        <w:ind w:left="720" w:hanging="720"/>
        <w:rPr>
          <w:rFonts w:ascii="Times New Roman" w:hAnsi="Times New Roman"/>
          <w:sz w:val="18"/>
          <w:szCs w:val="18"/>
        </w:rPr>
      </w:pPr>
    </w:p>
    <w:p w14:paraId="7E8C6799" w14:textId="29747C48" w:rsidR="00DF6BCC" w:rsidRPr="0073349E" w:rsidRDefault="00DF6BCC" w:rsidP="00DF6BCC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Sætre, Lars. ”Powering Textual Action: Duras’ Space in </w:t>
      </w:r>
      <w:r w:rsidRPr="0073349E">
        <w:rPr>
          <w:rFonts w:ascii="Times New Roman" w:hAnsi="Times New Roman"/>
          <w:i/>
          <w:sz w:val="18"/>
          <w:szCs w:val="18"/>
        </w:rPr>
        <w:t>Véra Baxter ou Les Plages de l’Atlantique</w:t>
      </w:r>
      <w:r w:rsidRPr="0073349E">
        <w:rPr>
          <w:rFonts w:ascii="Times New Roman" w:hAnsi="Times New Roman"/>
          <w:sz w:val="18"/>
          <w:szCs w:val="18"/>
        </w:rPr>
        <w:t xml:space="preserve">”. Sætre, Lars; Patrizia Lombardo; and Anders M. Gullestad (eds). </w:t>
      </w:r>
      <w:r w:rsidRPr="0073349E">
        <w:rPr>
          <w:rFonts w:ascii="Times New Roman" w:hAnsi="Times New Roman"/>
          <w:i/>
          <w:sz w:val="18"/>
          <w:szCs w:val="18"/>
        </w:rPr>
        <w:t>Exploring Textual Action</w:t>
      </w:r>
      <w:r w:rsidRPr="0073349E">
        <w:rPr>
          <w:rFonts w:ascii="Times New Roman" w:hAnsi="Times New Roman"/>
          <w:sz w:val="18"/>
          <w:szCs w:val="18"/>
        </w:rPr>
        <w:t>. Aarhus: Aarhus University Press, 2010.</w:t>
      </w:r>
      <w:r w:rsidR="00066AFD" w:rsidRPr="0073349E">
        <w:rPr>
          <w:rFonts w:ascii="Times New Roman" w:hAnsi="Times New Roman"/>
          <w:sz w:val="18"/>
          <w:szCs w:val="18"/>
        </w:rPr>
        <w:t xml:space="preserve"> 83-121.</w:t>
      </w:r>
    </w:p>
    <w:p w14:paraId="66813CB9" w14:textId="77777777" w:rsidR="00675E32" w:rsidRPr="0073349E" w:rsidRDefault="00675E32" w:rsidP="00675E32">
      <w:pPr>
        <w:ind w:left="720" w:hanging="720"/>
        <w:rPr>
          <w:rFonts w:ascii="Times New Roman" w:hAnsi="Times New Roman"/>
          <w:sz w:val="18"/>
          <w:szCs w:val="18"/>
        </w:rPr>
      </w:pPr>
    </w:p>
    <w:p w14:paraId="07037B13" w14:textId="695A32E7" w:rsidR="00675E32" w:rsidRPr="0073349E" w:rsidRDefault="00DF6BCC" w:rsidP="00DF6BCC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 xml:space="preserve">Sætre, Lars. ”Topography, Sense and Emotion: The Altarity of Textual Action in Jon Fosse”. </w:t>
      </w:r>
      <w:r w:rsidR="00EB132C" w:rsidRPr="0073349E">
        <w:rPr>
          <w:rFonts w:ascii="Times New Roman" w:hAnsi="Times New Roman"/>
          <w:sz w:val="18"/>
          <w:szCs w:val="18"/>
        </w:rPr>
        <w:t>[</w:t>
      </w:r>
      <w:r w:rsidR="00EB132C" w:rsidRPr="0073349E">
        <w:rPr>
          <w:rFonts w:ascii="Times New Roman" w:hAnsi="Times New Roman"/>
          <w:i/>
          <w:sz w:val="18"/>
          <w:szCs w:val="18"/>
        </w:rPr>
        <w:t>The Boathouse</w:t>
      </w:r>
      <w:r w:rsidR="00EB132C" w:rsidRPr="0073349E">
        <w:rPr>
          <w:rFonts w:ascii="Times New Roman" w:hAnsi="Times New Roman"/>
          <w:sz w:val="18"/>
          <w:szCs w:val="18"/>
        </w:rPr>
        <w:t xml:space="preserve">.] </w:t>
      </w:r>
      <w:r w:rsidRPr="0073349E">
        <w:rPr>
          <w:rFonts w:ascii="Times New Roman" w:hAnsi="Times New Roman"/>
          <w:sz w:val="18"/>
          <w:szCs w:val="18"/>
        </w:rPr>
        <w:t xml:space="preserve">Sætre, Lars; Patrizia Lombardo; and Julien Zanetta (eds). </w:t>
      </w:r>
      <w:r w:rsidRPr="0073349E">
        <w:rPr>
          <w:rFonts w:ascii="Times New Roman" w:hAnsi="Times New Roman"/>
          <w:i/>
          <w:sz w:val="18"/>
          <w:szCs w:val="18"/>
        </w:rPr>
        <w:t>Exploring Text and Emotions</w:t>
      </w:r>
      <w:r w:rsidRPr="0073349E">
        <w:rPr>
          <w:rFonts w:ascii="Times New Roman" w:hAnsi="Times New Roman"/>
          <w:sz w:val="18"/>
          <w:szCs w:val="18"/>
        </w:rPr>
        <w:t>. Aarhus: Aarhus University Press, 2014. 119-150.</w:t>
      </w:r>
    </w:p>
    <w:p w14:paraId="74D09C83" w14:textId="77777777" w:rsidR="00066AFD" w:rsidRPr="0073349E" w:rsidRDefault="00066AFD" w:rsidP="00DF6BCC">
      <w:pPr>
        <w:ind w:left="720" w:hanging="720"/>
        <w:rPr>
          <w:rFonts w:ascii="Times New Roman" w:hAnsi="Times New Roman"/>
          <w:sz w:val="18"/>
          <w:szCs w:val="18"/>
        </w:rPr>
      </w:pPr>
    </w:p>
    <w:p w14:paraId="02113CF0" w14:textId="22E2CE31" w:rsidR="00066AFD" w:rsidRPr="0073349E" w:rsidRDefault="00066AFD" w:rsidP="00452368">
      <w:pPr>
        <w:ind w:left="720" w:hanging="720"/>
        <w:rPr>
          <w:rFonts w:ascii="Times New Roman" w:hAnsi="Times New Roman"/>
          <w:sz w:val="18"/>
          <w:szCs w:val="18"/>
        </w:rPr>
      </w:pPr>
      <w:r w:rsidRPr="0073349E">
        <w:rPr>
          <w:rFonts w:ascii="Times New Roman" w:hAnsi="Times New Roman"/>
          <w:sz w:val="18"/>
          <w:szCs w:val="18"/>
        </w:rPr>
        <w:t>Sætre, Lars. ”</w:t>
      </w:r>
      <w:r w:rsidR="00452368" w:rsidRPr="0073349E">
        <w:rPr>
          <w:rFonts w:ascii="Times New Roman" w:hAnsi="Times New Roman"/>
          <w:sz w:val="18"/>
          <w:szCs w:val="18"/>
        </w:rPr>
        <w:t xml:space="preserve">Media, Memory, and Meaning in Narrative Art: Trauma in Renate Dorrestein’s Novel A Heart of Stone”. Sætre, Lars; Patrizia Lombardo; and Sara Tanderup Linkis (eds). </w:t>
      </w:r>
      <w:r w:rsidR="00452368" w:rsidRPr="0073349E">
        <w:rPr>
          <w:rFonts w:ascii="Times New Roman" w:hAnsi="Times New Roman"/>
          <w:i/>
          <w:sz w:val="18"/>
          <w:szCs w:val="18"/>
        </w:rPr>
        <w:t>Exploring Text, Media, and Memory</w:t>
      </w:r>
      <w:r w:rsidR="00452368" w:rsidRPr="0073349E">
        <w:rPr>
          <w:rFonts w:ascii="Times New Roman" w:hAnsi="Times New Roman"/>
          <w:sz w:val="18"/>
          <w:szCs w:val="18"/>
        </w:rPr>
        <w:t>. Aarhus: Aarhus University Press, 2017. 195-220.</w:t>
      </w:r>
    </w:p>
    <w:p w14:paraId="1A05D026" w14:textId="77777777" w:rsidR="005A5982" w:rsidRPr="0073349E" w:rsidRDefault="005A5982" w:rsidP="008972A3">
      <w:pPr>
        <w:ind w:left="720" w:hanging="720"/>
        <w:rPr>
          <w:rFonts w:ascii="Times New Roman" w:hAnsi="Times New Roman"/>
          <w:sz w:val="18"/>
          <w:szCs w:val="18"/>
        </w:rPr>
      </w:pPr>
    </w:p>
    <w:p w14:paraId="2E0EF41A" w14:textId="77777777" w:rsidR="000102EF" w:rsidRPr="0073349E" w:rsidRDefault="000102EF" w:rsidP="005A5982">
      <w:pPr>
        <w:ind w:left="720" w:hanging="720"/>
        <w:rPr>
          <w:rFonts w:ascii="Times New Roman" w:hAnsi="Times New Roman"/>
          <w:sz w:val="18"/>
          <w:szCs w:val="18"/>
        </w:rPr>
      </w:pPr>
    </w:p>
    <w:p w14:paraId="3248B258" w14:textId="77777777" w:rsidR="000102EF" w:rsidRPr="0073349E" w:rsidRDefault="000102EF" w:rsidP="00AB6238">
      <w:pPr>
        <w:rPr>
          <w:sz w:val="18"/>
          <w:szCs w:val="18"/>
        </w:rPr>
      </w:pPr>
      <w:bookmarkStart w:id="0" w:name="_GoBack"/>
      <w:bookmarkEnd w:id="0"/>
    </w:p>
    <w:sectPr w:rsidR="000102EF" w:rsidRPr="0073349E" w:rsidSect="0027523B">
      <w:headerReference w:type="even" r:id="rId8"/>
      <w:headerReference w:type="default" r:id="rId9"/>
      <w:type w:val="continuous"/>
      <w:pgSz w:w="11904" w:h="16834"/>
      <w:pgMar w:top="1440" w:right="1247" w:bottom="1440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0D6A5" w14:textId="77777777" w:rsidR="006A02C6" w:rsidRDefault="006A02C6">
      <w:r>
        <w:separator/>
      </w:r>
    </w:p>
  </w:endnote>
  <w:endnote w:type="continuationSeparator" w:id="0">
    <w:p w14:paraId="0DA4FD48" w14:textId="77777777" w:rsidR="006A02C6" w:rsidRDefault="006A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extile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5FDDD" w14:textId="77777777" w:rsidR="006A02C6" w:rsidRDefault="006A02C6">
      <w:r>
        <w:separator/>
      </w:r>
    </w:p>
  </w:footnote>
  <w:footnote w:type="continuationSeparator" w:id="0">
    <w:p w14:paraId="3A35B575" w14:textId="77777777" w:rsidR="006A02C6" w:rsidRDefault="006A02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7AB2E" w14:textId="77777777" w:rsidR="006A02C6" w:rsidRDefault="006A02C6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1</w:t>
    </w:r>
    <w:r>
      <w:rPr>
        <w:rStyle w:val="Sidetall"/>
      </w:rPr>
      <w:fldChar w:fldCharType="end"/>
    </w:r>
  </w:p>
  <w:p w14:paraId="07DED802" w14:textId="77777777" w:rsidR="006A02C6" w:rsidRDefault="006A02C6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9FDAC" w14:textId="77777777" w:rsidR="006A02C6" w:rsidRDefault="006A02C6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3349E">
      <w:rPr>
        <w:rStyle w:val="Sidetall"/>
        <w:noProof/>
      </w:rPr>
      <w:t>2</w:t>
    </w:r>
    <w:r>
      <w:rPr>
        <w:rStyle w:val="Sidetall"/>
      </w:rPr>
      <w:fldChar w:fldCharType="end"/>
    </w:r>
  </w:p>
  <w:p w14:paraId="5DC58859" w14:textId="77777777" w:rsidR="006A02C6" w:rsidRDefault="006A02C6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6"/>
    <w:rsid w:val="000102EF"/>
    <w:rsid w:val="00025BE6"/>
    <w:rsid w:val="00027574"/>
    <w:rsid w:val="00041DA6"/>
    <w:rsid w:val="00041FC4"/>
    <w:rsid w:val="0006337D"/>
    <w:rsid w:val="00066AFD"/>
    <w:rsid w:val="00125EA0"/>
    <w:rsid w:val="0016472B"/>
    <w:rsid w:val="00195EBB"/>
    <w:rsid w:val="001B7108"/>
    <w:rsid w:val="0022073A"/>
    <w:rsid w:val="00223630"/>
    <w:rsid w:val="0027523B"/>
    <w:rsid w:val="002B5A2E"/>
    <w:rsid w:val="002E2BA3"/>
    <w:rsid w:val="00353687"/>
    <w:rsid w:val="003B0F90"/>
    <w:rsid w:val="00443B5C"/>
    <w:rsid w:val="00452368"/>
    <w:rsid w:val="004A7116"/>
    <w:rsid w:val="004E15AA"/>
    <w:rsid w:val="005A5982"/>
    <w:rsid w:val="005D19B6"/>
    <w:rsid w:val="005D337E"/>
    <w:rsid w:val="005F437C"/>
    <w:rsid w:val="00614AF0"/>
    <w:rsid w:val="00616548"/>
    <w:rsid w:val="00636E14"/>
    <w:rsid w:val="006446C9"/>
    <w:rsid w:val="006519C6"/>
    <w:rsid w:val="00675E32"/>
    <w:rsid w:val="00696B87"/>
    <w:rsid w:val="006A02C6"/>
    <w:rsid w:val="006A4707"/>
    <w:rsid w:val="006A7B28"/>
    <w:rsid w:val="006B66DF"/>
    <w:rsid w:val="006C4A15"/>
    <w:rsid w:val="006E47B4"/>
    <w:rsid w:val="006F385D"/>
    <w:rsid w:val="0073349E"/>
    <w:rsid w:val="00740530"/>
    <w:rsid w:val="00746FEF"/>
    <w:rsid w:val="00784FAB"/>
    <w:rsid w:val="007B3C10"/>
    <w:rsid w:val="007F7F09"/>
    <w:rsid w:val="008972A3"/>
    <w:rsid w:val="008A680C"/>
    <w:rsid w:val="008F7DAD"/>
    <w:rsid w:val="00930618"/>
    <w:rsid w:val="00952C3F"/>
    <w:rsid w:val="00A32D92"/>
    <w:rsid w:val="00A34A4B"/>
    <w:rsid w:val="00A35A84"/>
    <w:rsid w:val="00A85906"/>
    <w:rsid w:val="00AB49FA"/>
    <w:rsid w:val="00AB6238"/>
    <w:rsid w:val="00AF16AB"/>
    <w:rsid w:val="00B1424A"/>
    <w:rsid w:val="00B3073E"/>
    <w:rsid w:val="00C32FB7"/>
    <w:rsid w:val="00C518B4"/>
    <w:rsid w:val="00C770B1"/>
    <w:rsid w:val="00C84718"/>
    <w:rsid w:val="00CF21DD"/>
    <w:rsid w:val="00CF3379"/>
    <w:rsid w:val="00D57A13"/>
    <w:rsid w:val="00DA56DA"/>
    <w:rsid w:val="00DF6BCC"/>
    <w:rsid w:val="00E021FB"/>
    <w:rsid w:val="00E647D4"/>
    <w:rsid w:val="00EB132C"/>
    <w:rsid w:val="00EB661D"/>
    <w:rsid w:val="00F05637"/>
    <w:rsid w:val="00F12DEC"/>
    <w:rsid w:val="00F649B8"/>
    <w:rsid w:val="00F84B8C"/>
    <w:rsid w:val="00FA43CF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E8EE0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Textile" w:hAnsi="Textile"/>
      <w:b/>
      <w:i/>
      <w:color w:val="000000"/>
      <w:sz w:val="1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388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D6650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A388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ED6650"/>
    <w:pPr>
      <w:keepNext/>
      <w:spacing w:line="360" w:lineRule="auto"/>
      <w:outlineLvl w:val="4"/>
    </w:pPr>
    <w:rPr>
      <w:rFonts w:ascii="Times New Roman" w:hAnsi="Times New Roman"/>
      <w:b/>
      <w:szCs w:val="24"/>
      <w:u w:val="single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pPr>
      <w:shd w:val="clear" w:color="auto" w:fill="000080"/>
    </w:pPr>
    <w:rPr>
      <w:rFonts w:ascii="Geneva" w:hAnsi="Geneva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link w:val="FotnotetekstTegn"/>
    <w:uiPriority w:val="99"/>
    <w:rPr>
      <w:sz w:val="20"/>
    </w:rPr>
  </w:style>
  <w:style w:type="character" w:styleId="Fotnotereferanse">
    <w:name w:val="footnote reference"/>
    <w:uiPriority w:val="99"/>
    <w:rPr>
      <w:vertAlign w:val="superscript"/>
    </w:rPr>
  </w:style>
  <w:style w:type="character" w:styleId="Hyperkobling">
    <w:name w:val="Hyperlink"/>
    <w:uiPriority w:val="99"/>
    <w:rsid w:val="00C144C4"/>
    <w:rPr>
      <w:color w:val="0000FF"/>
      <w:u w:val="single"/>
    </w:rPr>
  </w:style>
  <w:style w:type="paragraph" w:styleId="Blokktekst">
    <w:name w:val="Block Text"/>
    <w:basedOn w:val="Normal"/>
    <w:uiPriority w:val="99"/>
    <w:rsid w:val="005A3880"/>
    <w:pPr>
      <w:tabs>
        <w:tab w:val="left" w:pos="-262"/>
        <w:tab w:val="left" w:pos="-142"/>
        <w:tab w:val="left" w:pos="578"/>
        <w:tab w:val="left" w:pos="1298"/>
        <w:tab w:val="left" w:pos="2018"/>
        <w:tab w:val="left" w:pos="2738"/>
        <w:tab w:val="left" w:pos="3458"/>
        <w:tab w:val="left" w:pos="4178"/>
        <w:tab w:val="left" w:pos="4898"/>
        <w:tab w:val="left" w:pos="5618"/>
        <w:tab w:val="left" w:pos="6338"/>
        <w:tab w:val="left" w:pos="7058"/>
        <w:tab w:val="left" w:pos="7778"/>
        <w:tab w:val="left" w:pos="8498"/>
        <w:tab w:val="left" w:pos="9218"/>
        <w:tab w:val="left" w:pos="9938"/>
      </w:tabs>
      <w:ind w:left="-142" w:right="-142"/>
      <w:jc w:val="both"/>
    </w:pPr>
    <w:rPr>
      <w:rFonts w:eastAsia="Times New Roman"/>
      <w:sz w:val="28"/>
      <w:lang w:val="en-US"/>
    </w:rPr>
  </w:style>
  <w:style w:type="character" w:styleId="Uthevet">
    <w:name w:val="Emphasis"/>
    <w:qFormat/>
    <w:rsid w:val="005A3880"/>
    <w:rPr>
      <w:i/>
      <w:iCs/>
    </w:rPr>
  </w:style>
  <w:style w:type="character" w:styleId="Fulgthyperkobling">
    <w:name w:val="FollowedHyperlink"/>
    <w:uiPriority w:val="99"/>
    <w:rsid w:val="0072727C"/>
    <w:rPr>
      <w:color w:val="800080"/>
      <w:u w:val="single"/>
    </w:rPr>
  </w:style>
  <w:style w:type="character" w:customStyle="1" w:styleId="Overskrift3Tegn">
    <w:name w:val="Overskrift 3 Tegn"/>
    <w:link w:val="Overskrift3"/>
    <w:uiPriority w:val="9"/>
    <w:rsid w:val="00ED6650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character" w:customStyle="1" w:styleId="Overskrift5Tegn">
    <w:name w:val="Overskrift 5 Tegn"/>
    <w:link w:val="Overskrift5"/>
    <w:uiPriority w:val="9"/>
    <w:rsid w:val="00ED6650"/>
    <w:rPr>
      <w:rFonts w:ascii="Times New Roman" w:hAnsi="Times New Roman"/>
      <w:b/>
      <w:sz w:val="24"/>
      <w:szCs w:val="24"/>
      <w:u w:val="single"/>
    </w:rPr>
  </w:style>
  <w:style w:type="character" w:customStyle="1" w:styleId="Overskrift1Tegn">
    <w:name w:val="Overskrift 1 Tegn"/>
    <w:link w:val="Overskrift1"/>
    <w:uiPriority w:val="9"/>
    <w:rsid w:val="00ED6650"/>
    <w:rPr>
      <w:rFonts w:ascii="Textile" w:hAnsi="Textile"/>
      <w:b/>
      <w:i/>
      <w:color w:val="000000"/>
      <w:sz w:val="16"/>
      <w:lang w:eastAsia="en-US"/>
    </w:rPr>
  </w:style>
  <w:style w:type="character" w:customStyle="1" w:styleId="Overskrift2Tegn">
    <w:name w:val="Overskrift 2 Tegn"/>
    <w:link w:val="Overskrift2"/>
    <w:uiPriority w:val="9"/>
    <w:rsid w:val="00ED6650"/>
    <w:rPr>
      <w:rFonts w:ascii="Arial" w:hAnsi="Arial"/>
      <w:b/>
      <w:i/>
      <w:sz w:val="28"/>
      <w:szCs w:val="28"/>
      <w:lang w:eastAsia="en-US"/>
    </w:rPr>
  </w:style>
  <w:style w:type="character" w:customStyle="1" w:styleId="Overskrift4Tegn">
    <w:name w:val="Overskrift 4 Tegn"/>
    <w:link w:val="Overskrift4"/>
    <w:uiPriority w:val="9"/>
    <w:rsid w:val="00ED6650"/>
    <w:rPr>
      <w:rFonts w:ascii="Times New Roman" w:hAnsi="Times New Roman"/>
      <w:b/>
      <w:sz w:val="28"/>
      <w:szCs w:val="28"/>
      <w:lang w:eastAsia="en-US"/>
    </w:rPr>
  </w:style>
  <w:style w:type="character" w:customStyle="1" w:styleId="FotnotetekstTegn">
    <w:name w:val="Fotnotetekst Tegn"/>
    <w:link w:val="Fotnotetekst"/>
    <w:uiPriority w:val="99"/>
    <w:rsid w:val="00ED6650"/>
    <w:rPr>
      <w:rFonts w:ascii="Palatino" w:hAnsi="Palatino"/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D6650"/>
    <w:rPr>
      <w:szCs w:val="24"/>
      <w:lang w:eastAsia="nb-NO"/>
    </w:rPr>
  </w:style>
  <w:style w:type="character" w:customStyle="1" w:styleId="MerknadstekstTegn">
    <w:name w:val="Merknadstekst Tegn"/>
    <w:link w:val="Merknadstekst"/>
    <w:uiPriority w:val="99"/>
    <w:rsid w:val="00ED6650"/>
    <w:rPr>
      <w:rFonts w:ascii="Palatino" w:hAnsi="Palatino"/>
      <w:sz w:val="24"/>
      <w:szCs w:val="24"/>
    </w:rPr>
  </w:style>
  <w:style w:type="character" w:customStyle="1" w:styleId="TopptekstTegn">
    <w:name w:val="Topptekst Tegn"/>
    <w:link w:val="Topptekst"/>
    <w:uiPriority w:val="99"/>
    <w:rsid w:val="00ED6650"/>
    <w:rPr>
      <w:rFonts w:ascii="Palatino" w:hAnsi="Palatino"/>
      <w:sz w:val="24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200059"/>
    <w:pPr>
      <w:spacing w:line="360" w:lineRule="auto"/>
      <w:ind w:firstLine="720"/>
    </w:pPr>
    <w:rPr>
      <w:rFonts w:ascii="Times New Roman" w:hAnsi="Times New Roman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rsid w:val="00ED6650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link w:val="Dokumentkart"/>
    <w:uiPriority w:val="99"/>
    <w:rsid w:val="00ED6650"/>
    <w:rPr>
      <w:rFonts w:ascii="Geneva" w:hAnsi="Geneva"/>
      <w:sz w:val="24"/>
      <w:shd w:val="clear" w:color="auto" w:fill="000080"/>
      <w:lang w:eastAsia="en-US"/>
    </w:rPr>
  </w:style>
  <w:style w:type="character" w:styleId="Merknadsreferanse">
    <w:name w:val="annotation reference"/>
    <w:uiPriority w:val="99"/>
    <w:rsid w:val="00200059"/>
    <w:rPr>
      <w:sz w:val="18"/>
      <w:szCs w:val="18"/>
    </w:rPr>
  </w:style>
  <w:style w:type="paragraph" w:customStyle="1" w:styleId="CommentText">
    <w:name w:val="Comment Text"/>
    <w:basedOn w:val="Normal"/>
    <w:rsid w:val="00ED6650"/>
    <w:pPr>
      <w:spacing w:before="100" w:beforeAutospacing="1" w:after="100" w:afterAutospacing="1"/>
    </w:pPr>
    <w:rPr>
      <w:rFonts w:ascii="Times" w:hAnsi="Times"/>
      <w:sz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200059"/>
  </w:style>
  <w:style w:type="character" w:customStyle="1" w:styleId="KommentaremneTegn">
    <w:name w:val="Kommentaremne Tegn"/>
    <w:basedOn w:val="MerknadstekstTegn"/>
    <w:link w:val="Kommentaremne"/>
    <w:uiPriority w:val="99"/>
    <w:rsid w:val="00ED6650"/>
    <w:rPr>
      <w:rFonts w:ascii="Palatino" w:hAnsi="Palatino"/>
      <w:sz w:val="24"/>
      <w:szCs w:val="24"/>
    </w:rPr>
  </w:style>
  <w:style w:type="table" w:styleId="Tabellrutenett">
    <w:name w:val="Table Grid"/>
    <w:basedOn w:val="Vanligtabell"/>
    <w:rsid w:val="0020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rsid w:val="00CF21DD"/>
    <w:pPr>
      <w:spacing w:line="340" w:lineRule="exact"/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RentekstTegn">
    <w:name w:val="Ren tekst Tegn"/>
    <w:link w:val="Rentekst"/>
    <w:uiPriority w:val="99"/>
    <w:rsid w:val="00CF21DD"/>
    <w:rPr>
      <w:rFonts w:ascii="Courier New" w:eastAsia="Times New Roman" w:hAnsi="Courier New" w:cs="Courier New"/>
      <w:lang w:val="en-US" w:eastAsia="en-US"/>
    </w:rPr>
  </w:style>
  <w:style w:type="character" w:customStyle="1" w:styleId="apple-converted-space">
    <w:name w:val="apple-converted-space"/>
    <w:rsid w:val="002E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2931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Lars Sætre</vt:lpstr>
    </vt:vector>
  </TitlesOfParts>
  <Company>UiB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Lars Sætre</dc:title>
  <dc:subject/>
  <dc:creator>Per</dc:creator>
  <cp:keywords/>
  <cp:lastModifiedBy>Lars S</cp:lastModifiedBy>
  <cp:revision>29</cp:revision>
  <cp:lastPrinted>2018-04-27T13:33:00Z</cp:lastPrinted>
  <dcterms:created xsi:type="dcterms:W3CDTF">2018-04-27T13:45:00Z</dcterms:created>
  <dcterms:modified xsi:type="dcterms:W3CDTF">2021-10-26T13:50:00Z</dcterms:modified>
</cp:coreProperties>
</file>