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F01068" w14:textId="77777777" w:rsidR="0073697A" w:rsidRDefault="00696BDA" w:rsidP="00696BDA">
      <w:pPr>
        <w:spacing w:line="360" w:lineRule="auto"/>
        <w:jc w:val="center"/>
        <w:rPr>
          <w:rFonts w:ascii="Times New Roman" w:hAnsi="Times New Roman" w:cs="Times New Roman"/>
          <w:b/>
          <w:sz w:val="28"/>
          <w:szCs w:val="28"/>
          <w:u w:val="single"/>
        </w:rPr>
      </w:pPr>
      <w:r w:rsidRPr="00696BDA">
        <w:rPr>
          <w:rFonts w:ascii="Times New Roman" w:hAnsi="Times New Roman" w:cs="Times New Roman"/>
          <w:b/>
          <w:sz w:val="28"/>
          <w:szCs w:val="28"/>
          <w:u w:val="single"/>
        </w:rPr>
        <w:t>Prosjektbeskrivelse v3</w:t>
      </w:r>
    </w:p>
    <w:p w14:paraId="5DB6F474" w14:textId="021DF403" w:rsidR="002317FC" w:rsidRPr="002317FC" w:rsidRDefault="002317FC" w:rsidP="002317FC">
      <w:pPr>
        <w:spacing w:line="360" w:lineRule="auto"/>
        <w:rPr>
          <w:rFonts w:ascii="Times New Roman" w:hAnsi="Times New Roman" w:cs="Times New Roman"/>
          <w:i/>
        </w:rPr>
      </w:pPr>
      <w:r w:rsidRPr="002317FC">
        <w:rPr>
          <w:rFonts w:ascii="Times New Roman" w:hAnsi="Times New Roman" w:cs="Times New Roman"/>
          <w:i/>
        </w:rPr>
        <w:t xml:space="preserve">Det som gjenstår nå er </w:t>
      </w:r>
      <w:r>
        <w:rPr>
          <w:rFonts w:ascii="Times New Roman" w:hAnsi="Times New Roman" w:cs="Times New Roman"/>
          <w:i/>
        </w:rPr>
        <w:t>å utdype de litterære eksemplene til de tre skisserte fasene til mitt prosjekt</w:t>
      </w:r>
      <w:r w:rsidR="003C4E08">
        <w:rPr>
          <w:rFonts w:ascii="Times New Roman" w:hAnsi="Times New Roman" w:cs="Times New Roman"/>
          <w:i/>
        </w:rPr>
        <w:t>, samt forskningstradisjon</w:t>
      </w:r>
      <w:r w:rsidR="00B92460">
        <w:rPr>
          <w:rFonts w:ascii="Times New Roman" w:hAnsi="Times New Roman" w:cs="Times New Roman"/>
          <w:i/>
        </w:rPr>
        <w:t xml:space="preserve"> og begrepsavklaring (tenker her på deterritorialisering og anti-dannelse).</w:t>
      </w:r>
      <w:r>
        <w:rPr>
          <w:rFonts w:ascii="Times New Roman" w:hAnsi="Times New Roman" w:cs="Times New Roman"/>
          <w:i/>
        </w:rPr>
        <w:t xml:space="preserve"> Jeg har prioritert plass til hvilke tanker som ligger bak</w:t>
      </w:r>
      <w:r w:rsidR="003C4E08">
        <w:rPr>
          <w:rFonts w:ascii="Times New Roman" w:hAnsi="Times New Roman" w:cs="Times New Roman"/>
          <w:i/>
        </w:rPr>
        <w:t xml:space="preserve"> mitt prosjekt</w:t>
      </w:r>
      <w:r>
        <w:rPr>
          <w:rFonts w:ascii="Times New Roman" w:hAnsi="Times New Roman" w:cs="Times New Roman"/>
          <w:i/>
        </w:rPr>
        <w:t xml:space="preserve"> og jeg er usikker på om jeg vil gi opp noe av dette for å utdype de litterære eksemplene i denne prosjektbeskrivelsen. I og med at jeg har valgt en litt anne</w:t>
      </w:r>
      <w:r w:rsidR="003C4E08">
        <w:rPr>
          <w:rFonts w:ascii="Times New Roman" w:hAnsi="Times New Roman" w:cs="Times New Roman"/>
          <w:i/>
        </w:rPr>
        <w:t>n</w:t>
      </w:r>
      <w:r>
        <w:rPr>
          <w:rFonts w:ascii="Times New Roman" w:hAnsi="Times New Roman" w:cs="Times New Roman"/>
          <w:i/>
        </w:rPr>
        <w:t xml:space="preserve"> retning, blir forskningstradisjonen adskillig </w:t>
      </w:r>
      <w:r w:rsidR="00812565">
        <w:rPr>
          <w:rFonts w:ascii="Times New Roman" w:hAnsi="Times New Roman" w:cs="Times New Roman"/>
          <w:i/>
        </w:rPr>
        <w:t>større</w:t>
      </w:r>
      <w:r w:rsidR="003C4E08">
        <w:rPr>
          <w:rFonts w:ascii="Times New Roman" w:hAnsi="Times New Roman" w:cs="Times New Roman"/>
          <w:i/>
        </w:rPr>
        <w:t xml:space="preserve"> og ganske annerledes, så</w:t>
      </w:r>
      <w:r>
        <w:rPr>
          <w:rFonts w:ascii="Times New Roman" w:hAnsi="Times New Roman" w:cs="Times New Roman"/>
          <w:i/>
        </w:rPr>
        <w:t xml:space="preserve"> jeg håper dere har forståelse for at dette kanskje framstår noe mangelfullt på det nåværende tidspunkt.</w:t>
      </w:r>
      <w:r w:rsidR="001B5765">
        <w:rPr>
          <w:rFonts w:ascii="Times New Roman" w:hAnsi="Times New Roman" w:cs="Times New Roman"/>
          <w:i/>
        </w:rPr>
        <w:t xml:space="preserve"> Antar dog at Atle Kittangs «Knut Hamsuns Sult: psychologial deep structures and metapoetic plot» kan refereres </w:t>
      </w:r>
      <w:r w:rsidR="003C4E08">
        <w:rPr>
          <w:rFonts w:ascii="Times New Roman" w:hAnsi="Times New Roman" w:cs="Times New Roman"/>
          <w:i/>
        </w:rPr>
        <w:t>til hva angår koblingen mellom S</w:t>
      </w:r>
      <w:r w:rsidR="001B5765">
        <w:rPr>
          <w:rFonts w:ascii="Times New Roman" w:hAnsi="Times New Roman" w:cs="Times New Roman"/>
          <w:i/>
        </w:rPr>
        <w:t>ult og modernisme. Har også kikket på Yau, Ka-hais avhandling «Ciphers, or, tropes of ir-reference: The Bildungsroman</w:t>
      </w:r>
      <w:r w:rsidR="004D29A7">
        <w:rPr>
          <w:rFonts w:ascii="Times New Roman" w:hAnsi="Times New Roman" w:cs="Times New Roman"/>
          <w:i/>
        </w:rPr>
        <w:t xml:space="preserve">, realism, allegory, and xing», hvor han tidlig diskuterer forholdet mellom modernitetsrepresentasjonens tinglighet og mobilitet, </w:t>
      </w:r>
      <w:r w:rsidR="003C4E08">
        <w:rPr>
          <w:rFonts w:ascii="Times New Roman" w:hAnsi="Times New Roman" w:cs="Times New Roman"/>
          <w:i/>
        </w:rPr>
        <w:t>som han leser</w:t>
      </w:r>
      <w:r w:rsidR="004D29A7">
        <w:rPr>
          <w:rFonts w:ascii="Times New Roman" w:hAnsi="Times New Roman" w:cs="Times New Roman"/>
          <w:i/>
        </w:rPr>
        <w:t xml:space="preserve"> opp mot Franco Morettis lesning av </w:t>
      </w:r>
      <w:commentRangeStart w:id="0"/>
      <w:r w:rsidR="004D29A7">
        <w:rPr>
          <w:rFonts w:ascii="Times New Roman" w:hAnsi="Times New Roman" w:cs="Times New Roman"/>
          <w:i/>
        </w:rPr>
        <w:t>dannelsesromanen</w:t>
      </w:r>
      <w:commentRangeEnd w:id="0"/>
      <w:r w:rsidR="00532295">
        <w:rPr>
          <w:rStyle w:val="Merknadsreferanse"/>
        </w:rPr>
        <w:commentReference w:id="0"/>
      </w:r>
      <w:r w:rsidR="003C4E08">
        <w:rPr>
          <w:rFonts w:ascii="Times New Roman" w:hAnsi="Times New Roman" w:cs="Times New Roman"/>
          <w:i/>
        </w:rPr>
        <w:t>.</w:t>
      </w:r>
    </w:p>
    <w:p w14:paraId="44B63C51" w14:textId="77777777" w:rsidR="00297AC2" w:rsidRDefault="00297AC2" w:rsidP="0073697A">
      <w:pPr>
        <w:spacing w:line="360" w:lineRule="auto"/>
        <w:rPr>
          <w:rFonts w:ascii="Times New Roman" w:hAnsi="Times New Roman" w:cs="Times New Roman"/>
          <w:b/>
          <w:u w:val="single"/>
        </w:rPr>
      </w:pPr>
    </w:p>
    <w:p w14:paraId="3DB24BFC" w14:textId="77777777" w:rsidR="0073697A" w:rsidRPr="00D654E3" w:rsidRDefault="00696BDA" w:rsidP="0073697A">
      <w:pPr>
        <w:spacing w:line="360" w:lineRule="auto"/>
        <w:rPr>
          <w:rFonts w:ascii="Times New Roman" w:hAnsi="Times New Roman" w:cs="Times New Roman"/>
          <w:b/>
          <w:u w:val="single"/>
        </w:rPr>
      </w:pPr>
      <w:r>
        <w:rPr>
          <w:rFonts w:ascii="Times New Roman" w:hAnsi="Times New Roman" w:cs="Times New Roman"/>
          <w:b/>
          <w:u w:val="single"/>
        </w:rPr>
        <w:t>Introduksjon</w:t>
      </w:r>
    </w:p>
    <w:p w14:paraId="7C19D317" w14:textId="60C0542C" w:rsidR="0073697A" w:rsidRPr="00AD3A34" w:rsidRDefault="0073697A" w:rsidP="0073697A">
      <w:pPr>
        <w:widowControl w:val="0"/>
        <w:autoSpaceDE w:val="0"/>
        <w:autoSpaceDN w:val="0"/>
        <w:adjustRightInd w:val="0"/>
        <w:spacing w:after="200" w:line="360" w:lineRule="auto"/>
        <w:rPr>
          <w:rFonts w:ascii="Times New Roman" w:hAnsi="Times New Roman" w:cs="Times New Roman"/>
        </w:rPr>
      </w:pPr>
      <w:r w:rsidRPr="00D654E3">
        <w:rPr>
          <w:rFonts w:ascii="Times New Roman" w:hAnsi="Times New Roman" w:cs="Times New Roman"/>
        </w:rPr>
        <w:t xml:space="preserve">Fra og med det attende århundre har begrepet </w:t>
      </w:r>
      <w:r w:rsidRPr="00D654E3">
        <w:rPr>
          <w:rFonts w:ascii="Times New Roman" w:hAnsi="Times New Roman" w:cs="Times New Roman"/>
          <w:i/>
          <w:iCs/>
        </w:rPr>
        <w:t xml:space="preserve">dannelse </w:t>
      </w:r>
      <w:r w:rsidRPr="00D654E3">
        <w:rPr>
          <w:rFonts w:ascii="Times New Roman" w:hAnsi="Times New Roman" w:cs="Times New Roman"/>
        </w:rPr>
        <w:t xml:space="preserve">vært sentralt i litteraturvitenskapens beskjeftigelse med romankunsten. Begrepet </w:t>
      </w:r>
      <w:r w:rsidRPr="00D654E3">
        <w:rPr>
          <w:rFonts w:ascii="Times New Roman" w:hAnsi="Times New Roman" w:cs="Times New Roman"/>
          <w:i/>
          <w:iCs/>
        </w:rPr>
        <w:t>dannelse</w:t>
      </w:r>
      <w:r w:rsidRPr="00D654E3">
        <w:rPr>
          <w:rFonts w:ascii="Times New Roman" w:hAnsi="Times New Roman" w:cs="Times New Roman"/>
        </w:rPr>
        <w:t xml:space="preserve"> antyder en bevegelse, mentalt så vel som fysisk. Premisset for denne bevegelsen er at en indre endring ofte forutsetter en bevisst interaksjon med den ytre verden. Individet går i dialog med omgivelsene, nesten som en hermeneutiker i gadamersk forstand, hvor personlighet, oppførsel og moral formes gjennom oppdragelse, miljø og utdanning. Skildringen av en utvalgt helts interaksjon med den ytre verden og hvordan dette utløser potensialet for dannelsen av et voksent individ, er det tradisjonelle topos i dannelsesromanen. I den moderne storbyen fremstår den ytre verden som mangefasettert og kaotisk – helten fortolker, fordøyer og formes i et virvar av tegn. I sitt forsøk på å danne et stabilt forhold mellom sjelens avgrunn og den ytre verdens vindkast av ikke-enhetlige tegn, må dannelseshelten lære seg å opptre </w:t>
      </w:r>
      <w:r>
        <w:rPr>
          <w:rFonts w:ascii="Times New Roman" w:hAnsi="Times New Roman" w:cs="Times New Roman"/>
        </w:rPr>
        <w:t>annerledes</w:t>
      </w:r>
      <w:r w:rsidR="00BE7C9A">
        <w:rPr>
          <w:rFonts w:ascii="Times New Roman" w:hAnsi="Times New Roman" w:cs="Times New Roman"/>
        </w:rPr>
        <w:t>; han må tilegne seg</w:t>
      </w:r>
      <w:r w:rsidRPr="00D654E3">
        <w:rPr>
          <w:rFonts w:ascii="Times New Roman" w:hAnsi="Times New Roman" w:cs="Times New Roman"/>
        </w:rPr>
        <w:t xml:space="preserve"> og absorbere det som gjør ham mer standhaftig i stormen</w:t>
      </w:r>
      <w:r>
        <w:rPr>
          <w:rFonts w:ascii="Times New Roman" w:hAnsi="Times New Roman" w:cs="Times New Roman"/>
        </w:rPr>
        <w:t xml:space="preserve"> av inntrykk</w:t>
      </w:r>
      <w:r w:rsidRPr="00D654E3">
        <w:rPr>
          <w:rFonts w:ascii="Times New Roman" w:hAnsi="Times New Roman" w:cs="Times New Roman"/>
        </w:rPr>
        <w:t xml:space="preserve">. </w:t>
      </w:r>
      <w:commentRangeStart w:id="1"/>
      <w:r w:rsidRPr="00D654E3">
        <w:rPr>
          <w:rFonts w:ascii="Times New Roman" w:hAnsi="Times New Roman" w:cs="Times New Roman"/>
        </w:rPr>
        <w:t xml:space="preserve">Mitt prosjekt er et forsøk på en analyse av begrepet </w:t>
      </w:r>
      <w:r w:rsidRPr="00D654E3">
        <w:rPr>
          <w:rFonts w:ascii="Times New Roman" w:hAnsi="Times New Roman" w:cs="Times New Roman"/>
          <w:i/>
          <w:iCs/>
        </w:rPr>
        <w:t>dannelse</w:t>
      </w:r>
      <w:r w:rsidR="001F6B4A">
        <w:rPr>
          <w:rFonts w:ascii="Times New Roman" w:hAnsi="Times New Roman" w:cs="Times New Roman"/>
        </w:rPr>
        <w:t xml:space="preserve"> og hvorledes deterritoria</w:t>
      </w:r>
      <w:r>
        <w:rPr>
          <w:rFonts w:ascii="Times New Roman" w:hAnsi="Times New Roman" w:cs="Times New Roman"/>
        </w:rPr>
        <w:t>liseringen av begrepets dialektiske fundament muliggjør fremveksten av den modernistiske romans anti-dannelse.</w:t>
      </w:r>
      <w:r w:rsidR="00AD3A34">
        <w:rPr>
          <w:rFonts w:ascii="Times New Roman" w:hAnsi="Times New Roman" w:cs="Times New Roman"/>
        </w:rPr>
        <w:t xml:space="preserve"> </w:t>
      </w:r>
      <w:commentRangeEnd w:id="1"/>
      <w:r w:rsidR="001810AE">
        <w:rPr>
          <w:rStyle w:val="Merknadsreferanse"/>
        </w:rPr>
        <w:commentReference w:id="1"/>
      </w:r>
      <w:r w:rsidR="00AD3A34">
        <w:rPr>
          <w:rFonts w:ascii="Times New Roman" w:hAnsi="Times New Roman" w:cs="Times New Roman"/>
        </w:rPr>
        <w:t xml:space="preserve">Min motivasjon for å gyve løs på dette brede feltet, er fordi jeg synes at flere sentrale teoretikere som har beskjeftiget seg med dannelsesromanen har enten misforstått denne romanformens kollaps, utelukkende skummet overflaten eller vist en manglende evne til å </w:t>
      </w:r>
      <w:r w:rsidR="00AD3A34">
        <w:rPr>
          <w:rFonts w:ascii="Times New Roman" w:hAnsi="Times New Roman" w:cs="Times New Roman"/>
        </w:rPr>
        <w:lastRenderedPageBreak/>
        <w:t xml:space="preserve">påpeke at dette bruddet skjer tidligere enn i Flauberts dannelsesroman </w:t>
      </w:r>
      <w:r w:rsidR="00AD3A34">
        <w:rPr>
          <w:rFonts w:ascii="Times New Roman" w:hAnsi="Times New Roman" w:cs="Times New Roman"/>
          <w:i/>
        </w:rPr>
        <w:t>LÉducation sentimental</w:t>
      </w:r>
      <w:r w:rsidR="00AD3A34">
        <w:rPr>
          <w:rFonts w:ascii="Times New Roman" w:hAnsi="Times New Roman" w:cs="Times New Roman"/>
        </w:rPr>
        <w:t>. Mange har også mislykkes i å anerkjenne d</w:t>
      </w:r>
      <w:r w:rsidR="009A2FD3">
        <w:rPr>
          <w:rFonts w:ascii="Times New Roman" w:hAnsi="Times New Roman" w:cs="Times New Roman"/>
        </w:rPr>
        <w:t xml:space="preserve">en direkte forbindelsen mellom sammenbruddet i dannelsens dialektikk og fremveksten av den modernistiske </w:t>
      </w:r>
      <w:commentRangeStart w:id="2"/>
      <w:r w:rsidR="009A2FD3">
        <w:rPr>
          <w:rFonts w:ascii="Times New Roman" w:hAnsi="Times New Roman" w:cs="Times New Roman"/>
        </w:rPr>
        <w:t>roman</w:t>
      </w:r>
      <w:commentRangeEnd w:id="2"/>
      <w:r w:rsidR="001810AE">
        <w:rPr>
          <w:rStyle w:val="Merknadsreferanse"/>
        </w:rPr>
        <w:commentReference w:id="2"/>
      </w:r>
      <w:r w:rsidR="009A2FD3">
        <w:rPr>
          <w:rFonts w:ascii="Times New Roman" w:hAnsi="Times New Roman" w:cs="Times New Roman"/>
        </w:rPr>
        <w:t xml:space="preserve">. </w:t>
      </w:r>
    </w:p>
    <w:p w14:paraId="05C423AD" w14:textId="77777777" w:rsidR="00BE7C9A" w:rsidRDefault="00BE7C9A" w:rsidP="0073697A">
      <w:pPr>
        <w:widowControl w:val="0"/>
        <w:autoSpaceDE w:val="0"/>
        <w:autoSpaceDN w:val="0"/>
        <w:adjustRightInd w:val="0"/>
        <w:spacing w:after="200" w:line="360" w:lineRule="auto"/>
        <w:rPr>
          <w:rFonts w:ascii="Times New Roman" w:hAnsi="Times New Roman" w:cs="Times New Roman"/>
          <w:b/>
          <w:u w:val="single"/>
        </w:rPr>
      </w:pPr>
      <w:r>
        <w:rPr>
          <w:rFonts w:ascii="Times New Roman" w:hAnsi="Times New Roman" w:cs="Times New Roman"/>
          <w:b/>
          <w:u w:val="single"/>
        </w:rPr>
        <w:t>Dannelsesromanen – dens helt, dets begrep og dets indre system</w:t>
      </w:r>
    </w:p>
    <w:p w14:paraId="50996350" w14:textId="77777777" w:rsidR="00BE7C9A" w:rsidRPr="00BE7C9A" w:rsidRDefault="00BE7C9A" w:rsidP="0073697A">
      <w:pPr>
        <w:widowControl w:val="0"/>
        <w:autoSpaceDE w:val="0"/>
        <w:autoSpaceDN w:val="0"/>
        <w:adjustRightInd w:val="0"/>
        <w:spacing w:after="200" w:line="360" w:lineRule="auto"/>
        <w:rPr>
          <w:rFonts w:ascii="Times New Roman" w:hAnsi="Times New Roman" w:cs="Times New Roman"/>
          <w:u w:val="single"/>
        </w:rPr>
      </w:pPr>
      <w:r>
        <w:rPr>
          <w:rFonts w:ascii="Times New Roman" w:hAnsi="Times New Roman" w:cs="Times New Roman"/>
          <w:u w:val="single"/>
        </w:rPr>
        <w:t>Dannelsesromanens helt</w:t>
      </w:r>
    </w:p>
    <w:p w14:paraId="2783C822" w14:textId="77777777" w:rsidR="0073697A" w:rsidRPr="00D654E3" w:rsidRDefault="0073697A" w:rsidP="0073697A">
      <w:pPr>
        <w:widowControl w:val="0"/>
        <w:autoSpaceDE w:val="0"/>
        <w:autoSpaceDN w:val="0"/>
        <w:adjustRightInd w:val="0"/>
        <w:spacing w:after="200" w:line="360" w:lineRule="auto"/>
        <w:rPr>
          <w:rFonts w:ascii="Times New Roman" w:hAnsi="Times New Roman" w:cs="Times New Roman"/>
        </w:rPr>
      </w:pPr>
      <w:r w:rsidRPr="00D654E3">
        <w:rPr>
          <w:rFonts w:ascii="Times New Roman" w:hAnsi="Times New Roman" w:cs="Times New Roman"/>
        </w:rPr>
        <w:t xml:space="preserve">I essayet </w:t>
      </w:r>
      <w:r w:rsidRPr="00D654E3">
        <w:rPr>
          <w:rFonts w:ascii="Times New Roman" w:hAnsi="Times New Roman" w:cs="Times New Roman"/>
          <w:i/>
          <w:iCs/>
        </w:rPr>
        <w:t>Romanens teori</w:t>
      </w:r>
      <w:r w:rsidRPr="00D654E3">
        <w:rPr>
          <w:rFonts w:ascii="Times New Roman" w:hAnsi="Times New Roman" w:cs="Times New Roman"/>
        </w:rPr>
        <w:t xml:space="preserve"> skisserer Georg Lukács de grunnleggende premissene for dannelsesromanen som form:</w:t>
      </w:r>
    </w:p>
    <w:p w14:paraId="05A1928D" w14:textId="77777777" w:rsidR="0073697A" w:rsidRPr="00D654E3" w:rsidRDefault="0073697A" w:rsidP="0073697A">
      <w:pPr>
        <w:widowControl w:val="0"/>
        <w:autoSpaceDE w:val="0"/>
        <w:autoSpaceDN w:val="0"/>
        <w:adjustRightInd w:val="0"/>
        <w:spacing w:after="200" w:line="360" w:lineRule="auto"/>
        <w:ind w:left="708"/>
        <w:rPr>
          <w:rFonts w:ascii="Times New Roman" w:hAnsi="Times New Roman" w:cs="Times New Roman"/>
        </w:rPr>
      </w:pPr>
      <w:r w:rsidRPr="00D654E3">
        <w:rPr>
          <w:rFonts w:ascii="Times New Roman" w:hAnsi="Times New Roman" w:cs="Times New Roman"/>
        </w:rPr>
        <w:t>Humaniteten, det fundamentale sinnelaget i denne typen verker, krever en balanse mellom handling og kontemplasjon, mellom vilje til å innvirke på verden og evne til å forholde seg som mottaker til den. Dannelsesromanen har blitt betegnelsen for denne formen.</w:t>
      </w:r>
    </w:p>
    <w:p w14:paraId="227FE8AA" w14:textId="77777777" w:rsidR="0073697A" w:rsidRPr="00D654E3" w:rsidRDefault="0073697A" w:rsidP="0073697A">
      <w:pPr>
        <w:widowControl w:val="0"/>
        <w:autoSpaceDE w:val="0"/>
        <w:autoSpaceDN w:val="0"/>
        <w:adjustRightInd w:val="0"/>
        <w:spacing w:after="200" w:line="360" w:lineRule="auto"/>
        <w:rPr>
          <w:rFonts w:ascii="Times New Roman" w:hAnsi="Times New Roman" w:cs="Times New Roman"/>
        </w:rPr>
      </w:pPr>
      <w:r w:rsidRPr="00D654E3">
        <w:rPr>
          <w:rFonts w:ascii="Times New Roman" w:hAnsi="Times New Roman" w:cs="Times New Roman"/>
        </w:rPr>
        <w:t xml:space="preserve">Dannelsesromanens helt står mellom dypsindig refleksjon og aktiv handling, mellom desillusjonsromanens passivitet overfor den ytre verden og eventyrerens idealistiske vilje til innvirkning på sine omgivelser. En slik helt kan ikke forholde seg utelukkende passivt til sine omgivelser og er derfor – til en viss grad – avhengig av dem for å fullende sitt iboende </w:t>
      </w:r>
      <w:r w:rsidRPr="00D654E3">
        <w:rPr>
          <w:rFonts w:ascii="Times New Roman" w:hAnsi="Times New Roman" w:cs="Times New Roman"/>
          <w:i/>
          <w:iCs/>
        </w:rPr>
        <w:t>jeg</w:t>
      </w:r>
      <w:r w:rsidRPr="00D654E3">
        <w:rPr>
          <w:rFonts w:ascii="Times New Roman" w:hAnsi="Times New Roman" w:cs="Times New Roman"/>
        </w:rPr>
        <w:t>. Denne fullbyrdelsen er dannelsesheltens bevisste eller ubevisste mål. «… dens handling må være en bevisst, kontrollert prosess med sikte på et bestemt mål», skriver Lukács, og legger til:</w:t>
      </w:r>
    </w:p>
    <w:p w14:paraId="200D9980" w14:textId="77777777" w:rsidR="0073697A" w:rsidRPr="00D654E3" w:rsidRDefault="0073697A" w:rsidP="0073697A">
      <w:pPr>
        <w:widowControl w:val="0"/>
        <w:autoSpaceDE w:val="0"/>
        <w:autoSpaceDN w:val="0"/>
        <w:adjustRightInd w:val="0"/>
        <w:spacing w:after="200" w:line="360" w:lineRule="auto"/>
        <w:ind w:left="708"/>
        <w:rPr>
          <w:rFonts w:ascii="Times New Roman" w:hAnsi="Times New Roman" w:cs="Times New Roman"/>
        </w:rPr>
      </w:pPr>
      <w:r w:rsidRPr="00D654E3">
        <w:rPr>
          <w:rFonts w:ascii="Times New Roman" w:hAnsi="Times New Roman" w:cs="Times New Roman"/>
        </w:rPr>
        <w:t>… en utvikling av egenskaper i mennesker som ikke ville ha blomstret uten aktiv mellomkomst av andre mennesker og omstendigheter; for det som oppnås på denne måten, er i seg selv noe som fremmer og danner andre, det blir selv et dannelsesmiddel.</w:t>
      </w:r>
    </w:p>
    <w:p w14:paraId="44C691E0" w14:textId="77777777" w:rsidR="0073697A" w:rsidRPr="00D654E3" w:rsidRDefault="0073697A" w:rsidP="0073697A">
      <w:pPr>
        <w:widowControl w:val="0"/>
        <w:autoSpaceDE w:val="0"/>
        <w:autoSpaceDN w:val="0"/>
        <w:adjustRightInd w:val="0"/>
        <w:spacing w:after="200" w:line="360" w:lineRule="auto"/>
        <w:rPr>
          <w:rFonts w:ascii="Times New Roman" w:hAnsi="Times New Roman" w:cs="Times New Roman"/>
        </w:rPr>
      </w:pPr>
      <w:r w:rsidRPr="00D654E3">
        <w:rPr>
          <w:rFonts w:ascii="Times New Roman" w:hAnsi="Times New Roman" w:cs="Times New Roman"/>
        </w:rPr>
        <w:t>Dannelseshelten er med andre ord ikke en isolert skikkelse som tilegner seg dannelse innenfra og ut. Han eller hun kan ikke blomstre «uten aktiv mellomkomst av andre mennesker og omstendigheter». Dannelse forutsetter altså et samspill mellom handling og kontemplasjon. Selve prosessen vil da ta form som narrativt betinget mening i romanens kontekst; helten lukker øynene for avgrunnen som truer det moderne menneskets eksistensielle betingelser. For i motsetning til de tradisjonelle heltene fra eposets tid, mangler dannelsesromanens helt entydige svar i sin interaksjon med den ytre verden. Det moderne mennesket kjenner ingen former, bare kaos; ikke homogenitet, bare heterogenitet – gudene har trukket seg unna, og helten står alene. «Væren og skjebne, eventyr og fullbyrdelse, liv og vesen» er identiske begreper for eposets helt. Her finnes ingen avstand mellom individ og ytre verden. Det hele er en del av et enhetlig, predestinert kosmos. Romanen, som ofte omtales som modernitetens form, er derfor en hybrid. Denne betegnelsen er også dekkende for dannelsesromanens helt. I storbyens kaos av tegn må han opptre som en kannibal for å danne et forhold mellom seg selv og den ytre verden. Til tross for at et slikt forhold kan fremstå som en illusjon, er den strengt nødvendig komposisjonsmessig. Selve begrepet dannelse forutsetter et ideal, hvilket igjen må finne sitt uttrykk i handling og dermed være i en kontinuerlig konflikt med omverdenen. Skal helten muliggjøre sitt indre potensial, er interaksjon med den ytre verden en særdeles problematisk forutsetning – hans fordommer kan slynges mot de store spørsmål og avvises av den minste floskel.</w:t>
      </w:r>
    </w:p>
    <w:p w14:paraId="10D71811" w14:textId="353AE915" w:rsidR="00BE7C9A" w:rsidRDefault="0073697A" w:rsidP="0073697A">
      <w:pPr>
        <w:widowControl w:val="0"/>
        <w:autoSpaceDE w:val="0"/>
        <w:autoSpaceDN w:val="0"/>
        <w:adjustRightInd w:val="0"/>
        <w:spacing w:after="200" w:line="360" w:lineRule="auto"/>
        <w:rPr>
          <w:rFonts w:ascii="Times New Roman" w:hAnsi="Times New Roman" w:cs="Times New Roman"/>
        </w:rPr>
      </w:pPr>
      <w:r w:rsidRPr="00D654E3">
        <w:rPr>
          <w:rFonts w:ascii="Times New Roman" w:hAnsi="Times New Roman" w:cs="Times New Roman"/>
        </w:rPr>
        <w:t>H</w:t>
      </w:r>
      <w:r w:rsidR="00BE7C9A">
        <w:rPr>
          <w:rFonts w:ascii="Times New Roman" w:hAnsi="Times New Roman" w:cs="Times New Roman"/>
        </w:rPr>
        <w:t xml:space="preserve">vordan interagerer dannelseshelten med sine omgivelser? </w:t>
      </w:r>
      <w:r w:rsidRPr="00D654E3">
        <w:rPr>
          <w:rFonts w:ascii="Times New Roman" w:hAnsi="Times New Roman" w:cs="Times New Roman"/>
        </w:rPr>
        <w:t xml:space="preserve">Grunnlaget for dette er de hermeneutiske, fortolkende trekkene ved dannelsesheltens modningsprosess. Som </w:t>
      </w:r>
      <w:r w:rsidR="00BE7C9A">
        <w:rPr>
          <w:rFonts w:ascii="Times New Roman" w:hAnsi="Times New Roman" w:cs="Times New Roman"/>
        </w:rPr>
        <w:t xml:space="preserve">dannelseshelt </w:t>
      </w:r>
      <w:r w:rsidRPr="00D654E3">
        <w:rPr>
          <w:rFonts w:ascii="Times New Roman" w:hAnsi="Times New Roman" w:cs="Times New Roman"/>
        </w:rPr>
        <w:t xml:space="preserve">tilegner han seg en fremmed diskurs, hvilket tillater ham å se både seg selv og sine omgivelser utenfra. Hans virke er en kontinuerlig bevegelse av tilnærming og tilbaketrekning. Den antropofagiske </w:t>
      </w:r>
      <w:commentRangeStart w:id="3"/>
      <w:r w:rsidRPr="00D654E3">
        <w:rPr>
          <w:rFonts w:ascii="Times New Roman" w:hAnsi="Times New Roman" w:cs="Times New Roman"/>
        </w:rPr>
        <w:t xml:space="preserve">kannibal, </w:t>
      </w:r>
      <w:commentRangeEnd w:id="3"/>
      <w:r w:rsidR="00FB18D9">
        <w:rPr>
          <w:rStyle w:val="Merknadsreferanse"/>
        </w:rPr>
        <w:commentReference w:id="3"/>
      </w:r>
      <w:r w:rsidRPr="00D654E3">
        <w:rPr>
          <w:rFonts w:ascii="Times New Roman" w:hAnsi="Times New Roman" w:cs="Times New Roman"/>
        </w:rPr>
        <w:t>den skremmende menneskespisende skikkelse, fortærer bare de fiender som syntes ham verdig og hvis sterke egenskaper kunne tilegnes gjennom å fortære han</w:t>
      </w:r>
      <w:r w:rsidR="00BE7C9A">
        <w:rPr>
          <w:rFonts w:ascii="Times New Roman" w:hAnsi="Times New Roman" w:cs="Times New Roman"/>
        </w:rPr>
        <w:t xml:space="preserve">s </w:t>
      </w:r>
      <w:r w:rsidR="00BD6118">
        <w:rPr>
          <w:rFonts w:ascii="Times New Roman" w:hAnsi="Times New Roman" w:cs="Times New Roman"/>
        </w:rPr>
        <w:t>kjøtt. Dette kan være en treffende</w:t>
      </w:r>
      <w:r w:rsidR="00BE7C9A">
        <w:rPr>
          <w:rFonts w:ascii="Times New Roman" w:hAnsi="Times New Roman" w:cs="Times New Roman"/>
        </w:rPr>
        <w:t xml:space="preserve"> metafor for hvordan dannelseshelten tilegner seg </w:t>
      </w:r>
      <w:r w:rsidRPr="00D654E3">
        <w:rPr>
          <w:rFonts w:ascii="Times New Roman" w:hAnsi="Times New Roman" w:cs="Times New Roman"/>
        </w:rPr>
        <w:t>de delene av den ytre verden som styrker ham, samt forkaster alt overflødig</w:t>
      </w:r>
      <w:r w:rsidR="00BE7C9A">
        <w:rPr>
          <w:rFonts w:ascii="Times New Roman" w:hAnsi="Times New Roman" w:cs="Times New Roman"/>
        </w:rPr>
        <w:t>, hvis dannelsesprosessen følger sin naturlige hermeneutiske virke – vekslende mellom tilnærmelse og tilbaketrekning</w:t>
      </w:r>
      <w:r w:rsidRPr="00D654E3">
        <w:rPr>
          <w:rFonts w:ascii="Times New Roman" w:hAnsi="Times New Roman" w:cs="Times New Roman"/>
        </w:rPr>
        <w:t xml:space="preserve">. </w:t>
      </w:r>
    </w:p>
    <w:p w14:paraId="26C307EA" w14:textId="300CA166" w:rsidR="0073697A" w:rsidRDefault="00BE7C9A" w:rsidP="0073697A">
      <w:pPr>
        <w:widowControl w:val="0"/>
        <w:autoSpaceDE w:val="0"/>
        <w:autoSpaceDN w:val="0"/>
        <w:adjustRightInd w:val="0"/>
        <w:spacing w:after="200" w:line="360" w:lineRule="auto"/>
        <w:rPr>
          <w:rFonts w:ascii="Times New Roman" w:hAnsi="Times New Roman" w:cs="Times New Roman"/>
        </w:rPr>
      </w:pPr>
      <w:r>
        <w:rPr>
          <w:rFonts w:ascii="Times New Roman" w:hAnsi="Times New Roman" w:cs="Times New Roman"/>
        </w:rPr>
        <w:t xml:space="preserve">Denne prosessen, hvilket skal analyseres mer inngående senere, slår seg nærmest vrang i </w:t>
      </w:r>
      <w:r w:rsidR="00AB4DD7">
        <w:rPr>
          <w:rFonts w:ascii="Times New Roman" w:hAnsi="Times New Roman" w:cs="Times New Roman"/>
        </w:rPr>
        <w:t xml:space="preserve">flere av de franske dannelsesromaner. Balzacs helt fra </w:t>
      </w:r>
      <w:r w:rsidR="00BD6118">
        <w:rPr>
          <w:rFonts w:ascii="Times New Roman" w:hAnsi="Times New Roman" w:cs="Times New Roman"/>
          <w:i/>
        </w:rPr>
        <w:t xml:space="preserve">Le </w:t>
      </w:r>
      <w:r w:rsidR="00AB4DD7">
        <w:rPr>
          <w:rFonts w:ascii="Times New Roman" w:hAnsi="Times New Roman" w:cs="Times New Roman"/>
          <w:i/>
        </w:rPr>
        <w:t>Pere Goriot</w:t>
      </w:r>
      <w:r w:rsidR="00AB4DD7">
        <w:rPr>
          <w:rFonts w:ascii="Times New Roman" w:hAnsi="Times New Roman" w:cs="Times New Roman"/>
        </w:rPr>
        <w:t>, Rastignac, tråkler seg nærmest</w:t>
      </w:r>
      <w:r w:rsidR="0073697A" w:rsidRPr="00D654E3">
        <w:rPr>
          <w:rFonts w:ascii="Times New Roman" w:hAnsi="Times New Roman" w:cs="Times New Roman"/>
        </w:rPr>
        <w:t xml:space="preserve"> i</w:t>
      </w:r>
      <w:r w:rsidR="00AB4DD7">
        <w:rPr>
          <w:rFonts w:ascii="Times New Roman" w:hAnsi="Times New Roman" w:cs="Times New Roman"/>
        </w:rPr>
        <w:t>nn i</w:t>
      </w:r>
      <w:r w:rsidR="0073697A" w:rsidRPr="00D654E3">
        <w:rPr>
          <w:rFonts w:ascii="Times New Roman" w:hAnsi="Times New Roman" w:cs="Times New Roman"/>
        </w:rPr>
        <w:t xml:space="preserve"> en </w:t>
      </w:r>
      <w:r w:rsidR="00AB4DD7">
        <w:rPr>
          <w:rFonts w:ascii="Times New Roman" w:hAnsi="Times New Roman" w:cs="Times New Roman"/>
        </w:rPr>
        <w:t xml:space="preserve">slags </w:t>
      </w:r>
      <w:r w:rsidR="0073697A" w:rsidRPr="00D654E3">
        <w:rPr>
          <w:rFonts w:ascii="Times New Roman" w:hAnsi="Times New Roman" w:cs="Times New Roman"/>
        </w:rPr>
        <w:t>maktposisj</w:t>
      </w:r>
      <w:r w:rsidR="00AB4DD7">
        <w:rPr>
          <w:rFonts w:ascii="Times New Roman" w:hAnsi="Times New Roman" w:cs="Times New Roman"/>
        </w:rPr>
        <w:t>on hvor han kan skape noe nytt. En slik helt kan, hvis han velger sine inspirasjonskilder</w:t>
      </w:r>
      <w:r w:rsidR="0073697A" w:rsidRPr="00D654E3">
        <w:rPr>
          <w:rFonts w:ascii="Times New Roman" w:hAnsi="Times New Roman" w:cs="Times New Roman"/>
        </w:rPr>
        <w:t xml:space="preserve"> med omhu og vender dem tilbake som våpen</w:t>
      </w:r>
      <w:r w:rsidR="00AB4DD7">
        <w:rPr>
          <w:rFonts w:ascii="Times New Roman" w:hAnsi="Times New Roman" w:cs="Times New Roman"/>
        </w:rPr>
        <w:t xml:space="preserve"> mot storsamfunnet, fungere subversivt, ikke bare innad i romanens byrom, men også for dannelsesromanen – og dermed også for romanformen som helhet. </w:t>
      </w:r>
      <w:r w:rsidR="0073697A" w:rsidRPr="00D654E3">
        <w:rPr>
          <w:rFonts w:ascii="Times New Roman" w:hAnsi="Times New Roman" w:cs="Times New Roman"/>
        </w:rPr>
        <w:t xml:space="preserve">Skal helten leve ut sitt potensial, forutsetter dette handling og påfølgende tilegning av verdifull kunnskap, erfaring, råd og ikke minst penger. Kort sagt: de mange og forvirrende tegn som utgjør og synliggjør nødvendigheten av å finne sin plass i verden. Kannibalen, den undertrykkede Caliban, knytter seg slik sett til dannelseshelten med de avsluttende ordene i Aimé Césaires stykke </w:t>
      </w:r>
      <w:r w:rsidR="0073697A" w:rsidRPr="00D654E3">
        <w:rPr>
          <w:rFonts w:ascii="Times New Roman" w:hAnsi="Times New Roman" w:cs="Times New Roman"/>
          <w:i/>
          <w:iCs/>
        </w:rPr>
        <w:t>A Tempest</w:t>
      </w:r>
      <w:r w:rsidR="0073697A" w:rsidRPr="00D654E3">
        <w:rPr>
          <w:rFonts w:ascii="Times New Roman" w:hAnsi="Times New Roman" w:cs="Times New Roman"/>
        </w:rPr>
        <w:t>: «FREEDOM HI-DAY! FREEDOM HI-DAY!». Til tross for at dette verket ikke skal utgjøre en del av dette prosjektets emne, fungerer det som et adekvat og klargjørende motto for</w:t>
      </w:r>
      <w:r w:rsidR="00AB4DD7">
        <w:rPr>
          <w:rFonts w:ascii="Times New Roman" w:hAnsi="Times New Roman" w:cs="Times New Roman"/>
        </w:rPr>
        <w:t xml:space="preserve"> en helt av Rastignacs art</w:t>
      </w:r>
      <w:r w:rsidR="0073697A" w:rsidRPr="00D654E3">
        <w:rPr>
          <w:rFonts w:ascii="Times New Roman" w:hAnsi="Times New Roman" w:cs="Times New Roman"/>
        </w:rPr>
        <w:t>. Når Caliban avslutter stykket med et rop om frihet på et fremmed språk, tar han ikke Prosperos plass som herre over øyen: han finner en ny plass – et nytt levesett som knytter ham til øyen på en ny måte. Dannelseshelten må også gjennom en lignende prosess; ved hjelp av aktiv interaksjon med omgivelsene, skal han tilegne seg dannelse og finne sin plass i tilværelsen. Dannelseshelten må fortolke og beherske maktens diskurs for å lykkes.</w:t>
      </w:r>
    </w:p>
    <w:p w14:paraId="23135747" w14:textId="77777777" w:rsidR="00AB4DD7" w:rsidRPr="00AB4DD7" w:rsidRDefault="00AB4DD7" w:rsidP="0073697A">
      <w:pPr>
        <w:widowControl w:val="0"/>
        <w:autoSpaceDE w:val="0"/>
        <w:autoSpaceDN w:val="0"/>
        <w:adjustRightInd w:val="0"/>
        <w:spacing w:after="200" w:line="360" w:lineRule="auto"/>
        <w:rPr>
          <w:rFonts w:ascii="Times New Roman" w:hAnsi="Times New Roman" w:cs="Times New Roman"/>
          <w:u w:val="single"/>
        </w:rPr>
      </w:pPr>
      <w:r w:rsidRPr="00AB4DD7">
        <w:rPr>
          <w:rFonts w:ascii="Times New Roman" w:hAnsi="Times New Roman" w:cs="Times New Roman"/>
          <w:u w:val="single"/>
        </w:rPr>
        <w:t>Dannelsesheltens fortolkningsområde</w:t>
      </w:r>
    </w:p>
    <w:p w14:paraId="38080C45" w14:textId="77777777" w:rsidR="0073697A" w:rsidRDefault="0073697A" w:rsidP="0073697A">
      <w:pPr>
        <w:widowControl w:val="0"/>
        <w:autoSpaceDE w:val="0"/>
        <w:autoSpaceDN w:val="0"/>
        <w:adjustRightInd w:val="0"/>
        <w:spacing w:after="200" w:line="360" w:lineRule="auto"/>
        <w:rPr>
          <w:rFonts w:ascii="Times New Roman" w:eastAsia="Times New Roman" w:hAnsi="Times New Roman" w:cs="Times New Roman"/>
          <w:shd w:val="clear" w:color="auto" w:fill="FFFFFF"/>
        </w:rPr>
      </w:pPr>
      <w:r w:rsidRPr="00D654E3">
        <w:rPr>
          <w:rFonts w:ascii="Times New Roman" w:hAnsi="Times New Roman" w:cs="Times New Roman"/>
        </w:rPr>
        <w:t xml:space="preserve">Hva skal dannelseshelten fortolke? </w:t>
      </w:r>
      <w:r w:rsidRPr="00D654E3">
        <w:rPr>
          <w:rFonts w:ascii="Times New Roman" w:eastAsia="Times New Roman" w:hAnsi="Times New Roman" w:cs="Times New Roman"/>
          <w:shd w:val="clear" w:color="auto" w:fill="FFFFFF"/>
        </w:rPr>
        <w:t xml:space="preserve">En (realistisk) roman forsøker å etterligne værens materialitet normativt, mediert og gitt form gjennom språket. Skal (den nogenlunde realistiske) romanens mimetiske ambisjoner oppfylles, må den bygge sin egen materielle logikk hvor det litterære rommets tause objekter taler eller tier med en like stor selvfølgelighet som romanens karakterer. Ved hjelp av en møysommelig og detaljert oppbygging, må romanen da bygge opp sitt eget materielle tegnsystem, hvor dets virkelighetsbilde konstitueres og hvor dets tegn dermed viser til seg selv, og tingene fremstår i all sin tinglighet. Elementært her er synssansen, som er en umiddelbar og direkte sans. Ved å betegne tilsynelatende hverdagslige ting med sitt navn, vil en skygge av dets objekt hvile bak tegnet og dermed fremheves tingenes tinglighet. Objektenes tilstedeværelse i verden blir festet til papiret som ord og trer da frem i synlighetens register. Herunder finnes ofte selve tingliggjøringen av det sosiale, nemlig det fysiognomiske. Dette kan omtales som en slags symptomatologi, et intrikat assosiativt nettverk mellom det synlige og det sosiale. En mann av et ufyselig utseende, vil kunne knyttes til tilsvarende ufyselige egenskaper, men også til noe mer; han blir også et uttrykk for en gitt sosial posisjon. Dette vil også kunne overføres til objekter, hvis tildelte adjektiver vil kunne plassere dem i et lignende nettverk av assosiasjoner. En råtten loslitt divan vil gjensidig reflektere dens kroknesete okkupant. Dette utgjør </w:t>
      </w:r>
      <w:r w:rsidR="00AB4DD7">
        <w:rPr>
          <w:rFonts w:ascii="Times New Roman" w:eastAsia="Times New Roman" w:hAnsi="Times New Roman" w:cs="Times New Roman"/>
          <w:shd w:val="clear" w:color="auto" w:fill="FFFFFF"/>
        </w:rPr>
        <w:t>dannelsesheltens</w:t>
      </w:r>
      <w:r w:rsidRPr="00D654E3">
        <w:rPr>
          <w:rFonts w:ascii="Times New Roman" w:eastAsia="Times New Roman" w:hAnsi="Times New Roman" w:cs="Times New Roman"/>
          <w:shd w:val="clear" w:color="auto" w:fill="FFFFFF"/>
        </w:rPr>
        <w:t xml:space="preserve"> fortolkningsområde, hvor han må dechiffrere, tilnærme seg og trekke seg tilbake. Hvis han identifiserer styrkende tegn, ko</w:t>
      </w:r>
      <w:r w:rsidR="00AB4DD7">
        <w:rPr>
          <w:rFonts w:ascii="Times New Roman" w:eastAsia="Times New Roman" w:hAnsi="Times New Roman" w:cs="Times New Roman"/>
          <w:shd w:val="clear" w:color="auto" w:fill="FFFFFF"/>
        </w:rPr>
        <w:t>der, gester etc. vil han tilegne</w:t>
      </w:r>
      <w:r w:rsidRPr="00D654E3">
        <w:rPr>
          <w:rFonts w:ascii="Times New Roman" w:eastAsia="Times New Roman" w:hAnsi="Times New Roman" w:cs="Times New Roman"/>
          <w:shd w:val="clear" w:color="auto" w:fill="FFFFFF"/>
        </w:rPr>
        <w:t xml:space="preserve"> og anvende. </w:t>
      </w:r>
    </w:p>
    <w:p w14:paraId="27CB85DD" w14:textId="77777777" w:rsidR="00AB4DD7" w:rsidRPr="00AB4DD7" w:rsidRDefault="00AB4DD7" w:rsidP="0073697A">
      <w:pPr>
        <w:widowControl w:val="0"/>
        <w:autoSpaceDE w:val="0"/>
        <w:autoSpaceDN w:val="0"/>
        <w:adjustRightInd w:val="0"/>
        <w:spacing w:after="200" w:line="360" w:lineRule="auto"/>
        <w:rPr>
          <w:rFonts w:ascii="Times New Roman" w:hAnsi="Times New Roman" w:cs="Times New Roman"/>
          <w:u w:val="single"/>
        </w:rPr>
      </w:pPr>
      <w:r>
        <w:rPr>
          <w:rFonts w:ascii="Times New Roman" w:eastAsia="Times New Roman" w:hAnsi="Times New Roman" w:cs="Times New Roman"/>
          <w:u w:val="single"/>
          <w:shd w:val="clear" w:color="auto" w:fill="FFFFFF"/>
        </w:rPr>
        <w:t>Oppklaring og påfølgende bevegelse mot en problemstilling samt en hypotese</w:t>
      </w:r>
    </w:p>
    <w:p w14:paraId="45DB3E1C" w14:textId="0C3A3EE5" w:rsidR="0073697A" w:rsidRDefault="0073697A" w:rsidP="0073697A">
      <w:pPr>
        <w:widowControl w:val="0"/>
        <w:autoSpaceDE w:val="0"/>
        <w:autoSpaceDN w:val="0"/>
        <w:adjustRightInd w:val="0"/>
        <w:spacing w:after="200" w:line="360" w:lineRule="auto"/>
        <w:rPr>
          <w:rFonts w:ascii="Times New Roman" w:hAnsi="Times New Roman" w:cs="Times New Roman"/>
        </w:rPr>
      </w:pPr>
      <w:r w:rsidRPr="00D654E3">
        <w:rPr>
          <w:rFonts w:ascii="Times New Roman" w:hAnsi="Times New Roman" w:cs="Times New Roman"/>
        </w:rPr>
        <w:t xml:space="preserve">Men er dette egentlig denne omfortolkingen av samfunnets tegn den typiske strukturen i dannelsesprosessen, eller antyder den snarere en kortslutning, en kollaps eller feilkalibrering i dannelsesromanens dialektiske mønster? Den klassiske dannelsesromanen kan grovt sett deles inn i en </w:t>
      </w:r>
      <w:r w:rsidRPr="00D654E3">
        <w:rPr>
          <w:rFonts w:ascii="Times New Roman" w:hAnsi="Times New Roman" w:cs="Times New Roman"/>
          <w:i/>
        </w:rPr>
        <w:t>hjemme-borte-hjemme</w:t>
      </w:r>
      <w:r w:rsidRPr="00D654E3">
        <w:rPr>
          <w:rFonts w:ascii="Times New Roman" w:hAnsi="Times New Roman" w:cs="Times New Roman"/>
        </w:rPr>
        <w:t xml:space="preserve"> struktur, hvor det umodne individ forlater sitt hjem, reiser ut og vender (forhåpentligvis) tilbake som et fullkomment individ, en moden og tilpasset samfunnsborger. Denne strukturen finnes spesielt i Goethes dannelsesromaner. Her skildrer han en dialektisk dannelsesprosess, sterkt inspirert av Hegels filosofi, hvor det umodne individ utgjør den første tese. Siden vil sjokket av storsamfunnets tegn og sosiale koder utgjøre en antitese, som oftest på et partikulært nivå, hvor de enkelte nederlag og hendelser til sammen danner en motsats til det umodne individ. Hjemkomsten, som fullkommen og nå dannet borger, utgjør syntesen av det opprinnelige individ og hans interaksjon med omverden. </w:t>
      </w:r>
      <w:r w:rsidR="00B13E90">
        <w:rPr>
          <w:rFonts w:ascii="Times New Roman" w:hAnsi="Times New Roman" w:cs="Times New Roman"/>
        </w:rPr>
        <w:t>Balzacs Rastignac</w:t>
      </w:r>
      <w:r w:rsidRPr="00D654E3">
        <w:rPr>
          <w:rFonts w:ascii="Times New Roman" w:hAnsi="Times New Roman" w:cs="Times New Roman"/>
        </w:rPr>
        <w:t xml:space="preserve"> skiller seg slikt sett fra dette mønsteret. Her ender ikke fortolkningsprose</w:t>
      </w:r>
      <w:r>
        <w:rPr>
          <w:rFonts w:ascii="Times New Roman" w:hAnsi="Times New Roman" w:cs="Times New Roman"/>
        </w:rPr>
        <w:t xml:space="preserve">ssen av det ytres motstand i </w:t>
      </w:r>
      <w:r w:rsidRPr="00D654E3">
        <w:rPr>
          <w:rFonts w:ascii="Times New Roman" w:hAnsi="Times New Roman" w:cs="Times New Roman"/>
        </w:rPr>
        <w:t xml:space="preserve">dannelsen av et modent, tilpasset individ. </w:t>
      </w:r>
      <w:r w:rsidR="001F6B4A">
        <w:rPr>
          <w:rFonts w:ascii="Times New Roman" w:hAnsi="Times New Roman" w:cs="Times New Roman"/>
        </w:rPr>
        <w:t xml:space="preserve">Når Rastignac ypper til kamp mot Paris i romanens sluttscene, </w:t>
      </w:r>
      <w:r w:rsidRPr="00D654E3">
        <w:rPr>
          <w:rFonts w:ascii="Times New Roman" w:hAnsi="Times New Roman" w:cs="Times New Roman"/>
        </w:rPr>
        <w:t>anvender</w:t>
      </w:r>
      <w:r w:rsidR="001F6B4A">
        <w:rPr>
          <w:rFonts w:ascii="Times New Roman" w:hAnsi="Times New Roman" w:cs="Times New Roman"/>
        </w:rPr>
        <w:t xml:space="preserve"> han</w:t>
      </w:r>
      <w:r w:rsidRPr="00D654E3">
        <w:rPr>
          <w:rFonts w:ascii="Times New Roman" w:hAnsi="Times New Roman" w:cs="Times New Roman"/>
        </w:rPr>
        <w:t xml:space="preserve"> snarere storsamfunnets koder</w:t>
      </w:r>
      <w:r w:rsidRPr="00D654E3">
        <w:rPr>
          <w:rFonts w:ascii="Times New Roman" w:hAnsi="Times New Roman" w:cs="Times New Roman"/>
          <w:i/>
        </w:rPr>
        <w:t xml:space="preserve"> mot</w:t>
      </w:r>
      <w:r w:rsidRPr="00D654E3">
        <w:rPr>
          <w:rFonts w:ascii="Times New Roman" w:hAnsi="Times New Roman" w:cs="Times New Roman"/>
        </w:rPr>
        <w:t xml:space="preserve"> det selv som et våpen. Han fortolker, utnytter og anvender. Systemet som skulle danne ham har sviktet. </w:t>
      </w:r>
      <w:r w:rsidR="001F6B4A">
        <w:rPr>
          <w:rFonts w:ascii="Times New Roman" w:hAnsi="Times New Roman" w:cs="Times New Roman"/>
        </w:rPr>
        <w:t>Denne formen for dannelseshelt</w:t>
      </w:r>
      <w:r w:rsidRPr="001F6B4A">
        <w:rPr>
          <w:rFonts w:ascii="Times New Roman" w:hAnsi="Times New Roman" w:cs="Times New Roman"/>
        </w:rPr>
        <w:t xml:space="preserve"> er</w:t>
      </w:r>
      <w:r w:rsidR="001F6B4A">
        <w:rPr>
          <w:rFonts w:ascii="Times New Roman" w:hAnsi="Times New Roman" w:cs="Times New Roman"/>
        </w:rPr>
        <w:t xml:space="preserve"> den dialektiske</w:t>
      </w:r>
      <w:r w:rsidRPr="001F6B4A">
        <w:rPr>
          <w:rFonts w:ascii="Times New Roman" w:hAnsi="Times New Roman" w:cs="Times New Roman"/>
        </w:rPr>
        <w:t xml:space="preserve"> systemsvikten som angriper systemet.</w:t>
      </w:r>
      <w:r w:rsidRPr="00D654E3">
        <w:rPr>
          <w:rFonts w:ascii="Times New Roman" w:hAnsi="Times New Roman" w:cs="Times New Roman"/>
        </w:rPr>
        <w:t xml:space="preserve"> Dette er en radikal omveltning av den goethske dannelsesdialektikken. Her, i selve det avgjørende øyeblikket hvor helten skal vende hjem og innta sin plass som samfunnsborger og fullføre syntesen, skjærer heltens våpen et tomrom av negerende</w:t>
      </w:r>
      <w:r w:rsidR="001F6B4A">
        <w:rPr>
          <w:rFonts w:ascii="Times New Roman" w:hAnsi="Times New Roman" w:cs="Times New Roman"/>
        </w:rPr>
        <w:t>, deterritor</w:t>
      </w:r>
      <w:r w:rsidR="00465DBE">
        <w:rPr>
          <w:rFonts w:ascii="Times New Roman" w:hAnsi="Times New Roman" w:cs="Times New Roman"/>
        </w:rPr>
        <w:t>i</w:t>
      </w:r>
      <w:r w:rsidR="001F6B4A">
        <w:rPr>
          <w:rFonts w:ascii="Times New Roman" w:hAnsi="Times New Roman" w:cs="Times New Roman"/>
        </w:rPr>
        <w:t>aliserende</w:t>
      </w:r>
      <w:r w:rsidRPr="00D654E3">
        <w:rPr>
          <w:rFonts w:ascii="Times New Roman" w:hAnsi="Times New Roman" w:cs="Times New Roman"/>
        </w:rPr>
        <w:t xml:space="preserve"> potensialitet over storbyens himmelhvelv. </w:t>
      </w:r>
      <w:r w:rsidR="00465DBE">
        <w:rPr>
          <w:rFonts w:ascii="Times New Roman" w:hAnsi="Times New Roman" w:cs="Times New Roman"/>
        </w:rPr>
        <w:t xml:space="preserve">Dannelseshelten </w:t>
      </w:r>
      <w:r w:rsidRPr="00D654E3">
        <w:rPr>
          <w:rFonts w:ascii="Times New Roman" w:hAnsi="Times New Roman" w:cs="Times New Roman"/>
        </w:rPr>
        <w:t xml:space="preserve">blir da en slags negerende, diabolsk hermeneutiker; fortolkningen bryter sammen i prosessen og fortolkeren angriper fortolkningsobjektet (storsamfunnet) med fortolkningsobjektets egne </w:t>
      </w:r>
      <w:r>
        <w:rPr>
          <w:rFonts w:ascii="Times New Roman" w:hAnsi="Times New Roman" w:cs="Times New Roman"/>
        </w:rPr>
        <w:t xml:space="preserve">sosiale </w:t>
      </w:r>
      <w:r w:rsidRPr="00D654E3">
        <w:rPr>
          <w:rFonts w:ascii="Times New Roman" w:hAnsi="Times New Roman" w:cs="Times New Roman"/>
        </w:rPr>
        <w:t xml:space="preserve">grunnsteiner som våpen. </w:t>
      </w:r>
    </w:p>
    <w:p w14:paraId="3F7CFA00" w14:textId="6F988691" w:rsidR="003D47A3" w:rsidRDefault="00465DBE" w:rsidP="0073697A">
      <w:pPr>
        <w:widowControl w:val="0"/>
        <w:autoSpaceDE w:val="0"/>
        <w:autoSpaceDN w:val="0"/>
        <w:adjustRightInd w:val="0"/>
        <w:spacing w:after="200" w:line="360" w:lineRule="auto"/>
        <w:rPr>
          <w:rFonts w:ascii="Times New Roman" w:hAnsi="Times New Roman" w:cs="Times New Roman"/>
        </w:rPr>
      </w:pPr>
      <w:r>
        <w:rPr>
          <w:rFonts w:ascii="Times New Roman" w:hAnsi="Times New Roman" w:cs="Times New Roman"/>
        </w:rPr>
        <w:t>Dette er, som tidligere nevnt</w:t>
      </w:r>
      <w:r w:rsidR="00CE0B5F">
        <w:rPr>
          <w:rFonts w:ascii="Times New Roman" w:hAnsi="Times New Roman" w:cs="Times New Roman"/>
        </w:rPr>
        <w:t>, noe helt annet enn Goethes dialektiske dannelsesroman, hvilket</w:t>
      </w:r>
      <w:r>
        <w:rPr>
          <w:rFonts w:ascii="Times New Roman" w:hAnsi="Times New Roman" w:cs="Times New Roman"/>
        </w:rPr>
        <w:t xml:space="preserve"> leder meg videre til prosjektets problemstilling, samt en forsøksvis hypotese. </w:t>
      </w:r>
      <w:r w:rsidR="00CE0B5F">
        <w:rPr>
          <w:rFonts w:ascii="Times New Roman" w:hAnsi="Times New Roman" w:cs="Times New Roman"/>
        </w:rPr>
        <w:t xml:space="preserve">Den dialektiske dannelsesromanens form er fremdeles intakt i </w:t>
      </w:r>
      <w:r w:rsidR="00BD6118" w:rsidRPr="00BD6118">
        <w:rPr>
          <w:rFonts w:ascii="Times New Roman" w:hAnsi="Times New Roman" w:cs="Times New Roman"/>
          <w:i/>
        </w:rPr>
        <w:t>Le</w:t>
      </w:r>
      <w:r w:rsidR="00BD6118">
        <w:rPr>
          <w:rFonts w:ascii="Times New Roman" w:hAnsi="Times New Roman" w:cs="Times New Roman"/>
        </w:rPr>
        <w:t xml:space="preserve"> </w:t>
      </w:r>
      <w:r w:rsidR="00CE0B5F">
        <w:rPr>
          <w:rFonts w:ascii="Times New Roman" w:hAnsi="Times New Roman" w:cs="Times New Roman"/>
          <w:i/>
        </w:rPr>
        <w:t>Pere Goriot</w:t>
      </w:r>
      <w:r w:rsidR="00CE0B5F">
        <w:rPr>
          <w:rFonts w:ascii="Times New Roman" w:hAnsi="Times New Roman" w:cs="Times New Roman"/>
        </w:rPr>
        <w:t xml:space="preserve">. </w:t>
      </w:r>
      <w:r w:rsidR="006E0BF2">
        <w:rPr>
          <w:rFonts w:ascii="Times New Roman" w:hAnsi="Times New Roman" w:cs="Times New Roman"/>
        </w:rPr>
        <w:t xml:space="preserve">George Lukacs, samt den italienske litteraturviteren Franco Moretti, påpeker dette. Lukacs skriver blant annet at </w:t>
      </w:r>
      <w:r w:rsidR="006E0BF2">
        <w:rPr>
          <w:rFonts w:ascii="Times New Roman" w:hAnsi="Times New Roman" w:cs="Times New Roman"/>
          <w:i/>
        </w:rPr>
        <w:t xml:space="preserve">La comédie humain </w:t>
      </w:r>
      <w:r w:rsidR="00274C8C">
        <w:rPr>
          <w:rFonts w:ascii="Times New Roman" w:hAnsi="Times New Roman" w:cs="Times New Roman"/>
        </w:rPr>
        <w:t>karakteriseres av en «subjektiv-psykologiske demonisme», hvis episke gjerninger karakteriseres av</w:t>
      </w:r>
      <w:r w:rsidR="003D47A3">
        <w:rPr>
          <w:rFonts w:ascii="Times New Roman" w:hAnsi="Times New Roman" w:cs="Times New Roman"/>
        </w:rPr>
        <w:t xml:space="preserve"> at</w:t>
      </w:r>
      <w:r w:rsidR="00274C8C">
        <w:rPr>
          <w:rFonts w:ascii="Times New Roman" w:hAnsi="Times New Roman" w:cs="Times New Roman"/>
        </w:rPr>
        <w:t xml:space="preserve"> </w:t>
      </w:r>
    </w:p>
    <w:p w14:paraId="318B8413" w14:textId="27EEE71A" w:rsidR="00465DBE" w:rsidRDefault="00274C8C" w:rsidP="003D47A3">
      <w:pPr>
        <w:widowControl w:val="0"/>
        <w:autoSpaceDE w:val="0"/>
        <w:autoSpaceDN w:val="0"/>
        <w:adjustRightInd w:val="0"/>
        <w:spacing w:after="200" w:line="360" w:lineRule="auto"/>
        <w:ind w:left="708"/>
        <w:rPr>
          <w:rFonts w:ascii="Times New Roman" w:hAnsi="Times New Roman" w:cs="Times New Roman"/>
        </w:rPr>
      </w:pPr>
      <w:r>
        <w:rPr>
          <w:rFonts w:ascii="Times New Roman" w:hAnsi="Times New Roman" w:cs="Times New Roman"/>
        </w:rPr>
        <w:t>«dens inadekvate forhold</w:t>
      </w:r>
      <w:r w:rsidR="003D47A3">
        <w:rPr>
          <w:rFonts w:ascii="Times New Roman" w:hAnsi="Times New Roman" w:cs="Times New Roman"/>
        </w:rPr>
        <w:t xml:space="preserve"> til utenverden er til det ytterste intensivert, men intensiveringen blir utsatt for et klart immanent mottrekk: utenverden er rent menneskelig og hovedsakelig befolket av mennesker med åndsstrukturer som likner hverandre, selv om de er av forskjellige retninger og innhold» (Lukács, s. 88).</w:t>
      </w:r>
    </w:p>
    <w:p w14:paraId="706EC912" w14:textId="0DE11013" w:rsidR="0073697A" w:rsidRPr="00206CC1" w:rsidRDefault="003D47A3" w:rsidP="0073697A">
      <w:pPr>
        <w:widowControl w:val="0"/>
        <w:autoSpaceDE w:val="0"/>
        <w:autoSpaceDN w:val="0"/>
        <w:adjustRightInd w:val="0"/>
        <w:spacing w:after="200" w:line="360" w:lineRule="auto"/>
        <w:rPr>
          <w:rFonts w:ascii="Times New Roman" w:hAnsi="Times New Roman" w:cs="Times New Roman"/>
          <w:i/>
        </w:rPr>
      </w:pPr>
      <w:r>
        <w:rPr>
          <w:rFonts w:ascii="Times New Roman" w:hAnsi="Times New Roman" w:cs="Times New Roman"/>
        </w:rPr>
        <w:t xml:space="preserve">Lukács viser her til det tidligere skisserte fortolkningsområdet for dannelseshelten, hvilket også er intakt i </w:t>
      </w:r>
      <w:r w:rsidR="00BD6118">
        <w:rPr>
          <w:rFonts w:ascii="Times New Roman" w:hAnsi="Times New Roman" w:cs="Times New Roman"/>
          <w:i/>
        </w:rPr>
        <w:t xml:space="preserve">Le </w:t>
      </w:r>
      <w:r>
        <w:rPr>
          <w:rFonts w:ascii="Times New Roman" w:hAnsi="Times New Roman" w:cs="Times New Roman"/>
          <w:i/>
        </w:rPr>
        <w:t>Pere Goriot</w:t>
      </w:r>
      <w:r>
        <w:rPr>
          <w:rFonts w:ascii="Times New Roman" w:hAnsi="Times New Roman" w:cs="Times New Roman"/>
        </w:rPr>
        <w:t xml:space="preserve">. Dog blir dette paradoksale homogene forholdet, hvor «sjelene skjebnetungt handler forbi hverandre» (Lukács, s. 89) </w:t>
      </w:r>
      <w:r w:rsidR="00025FD0">
        <w:rPr>
          <w:rFonts w:ascii="Times New Roman" w:hAnsi="Times New Roman" w:cs="Times New Roman"/>
        </w:rPr>
        <w:t xml:space="preserve">og dermed blir til romanens virkelighets vesen, problematisk i lys av Rastignacs krigserklæring mot Paris. Denne romanen følger i sin kjerne et hjemme-borte-hjemme mønster, men det er i selve syntesen at det hele kollapser og blir til noe annet. Rastignac handler ikke forbi noen som helst, han ender snarere opp med å handle </w:t>
      </w:r>
      <w:r w:rsidR="00025FD0">
        <w:rPr>
          <w:rFonts w:ascii="Times New Roman" w:hAnsi="Times New Roman" w:cs="Times New Roman"/>
          <w:i/>
        </w:rPr>
        <w:t>mot</w:t>
      </w:r>
      <w:r w:rsidR="00025FD0">
        <w:rPr>
          <w:rFonts w:ascii="Times New Roman" w:hAnsi="Times New Roman" w:cs="Times New Roman"/>
        </w:rPr>
        <w:t xml:space="preserve"> og </w:t>
      </w:r>
      <w:r w:rsidR="00025FD0">
        <w:rPr>
          <w:rFonts w:ascii="Times New Roman" w:hAnsi="Times New Roman" w:cs="Times New Roman"/>
          <w:i/>
        </w:rPr>
        <w:t>med</w:t>
      </w:r>
      <w:r w:rsidR="00025FD0">
        <w:rPr>
          <w:rFonts w:ascii="Times New Roman" w:hAnsi="Times New Roman" w:cs="Times New Roman"/>
        </w:rPr>
        <w:t xml:space="preserve"> storbyens intrikate system av lignende åndsstrukturer, tegn og retninger. Det immanente mottrekk til det inadekvate forhold til utenverden, utfordres og setter dermed hele romanens skjøre form på spill, samt den Goetheske dialektikk som i datiden lå til grunn for enhver beskjeftigelse med dannelsesromanen som form. Strukturen er intakt, men den er i ferd med å kollapse og bli til noe annet i sitt indre. </w:t>
      </w:r>
      <w:r w:rsidR="005F372B">
        <w:rPr>
          <w:rFonts w:ascii="Times New Roman" w:hAnsi="Times New Roman" w:cs="Times New Roman"/>
        </w:rPr>
        <w:t xml:space="preserve">Hvis dette så er tilfellet skiller det seg ikke bare drastisk fra den nevnte dialektikk, men det er noe helt annet som beveger seg i romanens indre, hvilket for så vidt Lukács også påpeker. Moretti skriver om den Goetheske </w:t>
      </w:r>
      <w:r w:rsidR="00BD6118">
        <w:rPr>
          <w:rFonts w:ascii="Times New Roman" w:hAnsi="Times New Roman" w:cs="Times New Roman"/>
          <w:i/>
        </w:rPr>
        <w:t xml:space="preserve">Bildungsroman </w:t>
      </w:r>
      <w:r w:rsidR="005F372B">
        <w:rPr>
          <w:rFonts w:ascii="Times New Roman" w:hAnsi="Times New Roman" w:cs="Times New Roman"/>
        </w:rPr>
        <w:t xml:space="preserve">at dens mål ikke er «[…] to heighten the discrepancy, but to make it disappear […] The education of Wilhelm and Elizabeth also consists in the acknowledgement that </w:t>
      </w:r>
      <w:r w:rsidR="005F372B">
        <w:rPr>
          <w:rFonts w:ascii="Times New Roman" w:hAnsi="Times New Roman" w:cs="Times New Roman"/>
          <w:i/>
        </w:rPr>
        <w:t>social superiority and moral superiority are one and the same</w:t>
      </w:r>
      <w:r w:rsidR="005F372B">
        <w:rPr>
          <w:rFonts w:ascii="Times New Roman" w:hAnsi="Times New Roman" w:cs="Times New Roman"/>
        </w:rPr>
        <w:t>» (</w:t>
      </w:r>
      <w:r w:rsidR="002A0C3E">
        <w:rPr>
          <w:rFonts w:ascii="Times New Roman" w:hAnsi="Times New Roman" w:cs="Times New Roman"/>
        </w:rPr>
        <w:t xml:space="preserve">Moretti, s. 72). I Balzacs </w:t>
      </w:r>
      <w:r w:rsidR="00BD6118">
        <w:rPr>
          <w:rFonts w:ascii="Times New Roman" w:hAnsi="Times New Roman" w:cs="Times New Roman"/>
          <w:i/>
        </w:rPr>
        <w:t xml:space="preserve">Le </w:t>
      </w:r>
      <w:r w:rsidR="002A0C3E">
        <w:rPr>
          <w:rFonts w:ascii="Times New Roman" w:hAnsi="Times New Roman" w:cs="Times New Roman"/>
          <w:i/>
        </w:rPr>
        <w:t>Pere Goriot</w:t>
      </w:r>
      <w:r w:rsidR="005F372B">
        <w:rPr>
          <w:rFonts w:ascii="Times New Roman" w:hAnsi="Times New Roman" w:cs="Times New Roman"/>
        </w:rPr>
        <w:t xml:space="preserve"> er disse to vitale understrømmene i den dialektiske</w:t>
      </w:r>
      <w:r w:rsidR="002A0C3E">
        <w:rPr>
          <w:rFonts w:ascii="Times New Roman" w:hAnsi="Times New Roman" w:cs="Times New Roman"/>
        </w:rPr>
        <w:t xml:space="preserve"> dannelse fullstendig adskilt. Den gamle Goriots kristuslignende offer, dog basert på en i høyeste grad materialistisk moral, utgjør den moralske overlegenhets død. Han gjenoppstår aldri, han lider på et kors av skitt og tapte drømmer. Det har tidligere blitt påvist at den parisiske sosietets sosiale overlegenhet yppes til krig med av romanens helt, snarere enn at denne redder en slags ny-materiell dannelsesprosess i takt med den gamle Goriots materialistiske moral. Moretti hevder at </w:t>
      </w:r>
      <w:r w:rsidR="00BD6118">
        <w:rPr>
          <w:rFonts w:ascii="Times New Roman" w:hAnsi="Times New Roman" w:cs="Times New Roman"/>
          <w:i/>
        </w:rPr>
        <w:t xml:space="preserve">Le </w:t>
      </w:r>
      <w:r w:rsidR="002A0C3E">
        <w:rPr>
          <w:rFonts w:ascii="Times New Roman" w:hAnsi="Times New Roman" w:cs="Times New Roman"/>
          <w:i/>
        </w:rPr>
        <w:t xml:space="preserve">Pere Goriot </w:t>
      </w:r>
      <w:r w:rsidR="002A0C3E">
        <w:rPr>
          <w:rFonts w:ascii="Times New Roman" w:hAnsi="Times New Roman" w:cs="Times New Roman"/>
        </w:rPr>
        <w:t xml:space="preserve">skiller seg distinkt fra </w:t>
      </w:r>
      <w:r w:rsidR="002A0C3E">
        <w:rPr>
          <w:rFonts w:ascii="Times New Roman" w:hAnsi="Times New Roman" w:cs="Times New Roman"/>
          <w:i/>
        </w:rPr>
        <w:t>Wilhelm Meister</w:t>
      </w:r>
      <w:r w:rsidR="002A0C3E">
        <w:rPr>
          <w:rFonts w:ascii="Times New Roman" w:hAnsi="Times New Roman" w:cs="Times New Roman"/>
        </w:rPr>
        <w:t xml:space="preserve"> i den grad at vi her utelukkende finner sosial mobilitet</w:t>
      </w:r>
      <w:r w:rsidR="00062911">
        <w:rPr>
          <w:rFonts w:ascii="Times New Roman" w:hAnsi="Times New Roman" w:cs="Times New Roman"/>
        </w:rPr>
        <w:t xml:space="preserve"> (som et mål i seg selv)</w:t>
      </w:r>
      <w:r w:rsidR="002A0C3E">
        <w:rPr>
          <w:rFonts w:ascii="Times New Roman" w:hAnsi="Times New Roman" w:cs="Times New Roman"/>
        </w:rPr>
        <w:t xml:space="preserve">, og ingen </w:t>
      </w:r>
      <w:r w:rsidR="00062911">
        <w:rPr>
          <w:rFonts w:ascii="Times New Roman" w:hAnsi="Times New Roman" w:cs="Times New Roman"/>
        </w:rPr>
        <w:t xml:space="preserve">ideell bånd (Moretti, s. 130). Det nye motto </w:t>
      </w:r>
      <w:r w:rsidR="00062911">
        <w:rPr>
          <w:rFonts w:ascii="Times New Roman" w:hAnsi="Times New Roman" w:cs="Times New Roman"/>
          <w:i/>
        </w:rPr>
        <w:t>parvenir</w:t>
      </w:r>
      <w:r w:rsidR="00062911">
        <w:rPr>
          <w:rFonts w:ascii="Times New Roman" w:hAnsi="Times New Roman" w:cs="Times New Roman"/>
        </w:rPr>
        <w:t xml:space="preserve"> (Moretti, s. 130) understreker også dette. Jeg vil si meg enig med Moretti på dette punktet, men vil også hevde at også </w:t>
      </w:r>
      <w:r w:rsidR="00062911">
        <w:rPr>
          <w:rFonts w:ascii="Times New Roman" w:hAnsi="Times New Roman" w:cs="Times New Roman"/>
          <w:i/>
        </w:rPr>
        <w:t>parvenir</w:t>
      </w:r>
      <w:r w:rsidR="00062911">
        <w:rPr>
          <w:rFonts w:ascii="Times New Roman" w:hAnsi="Times New Roman" w:cs="Times New Roman"/>
        </w:rPr>
        <w:t xml:space="preserve"> som mål i seg selv, står på spill og utfordres i Rastignacs endelige krigserklæring. </w:t>
      </w:r>
      <w:commentRangeStart w:id="4"/>
      <w:r w:rsidR="00062911">
        <w:rPr>
          <w:rFonts w:ascii="Times New Roman" w:hAnsi="Times New Roman" w:cs="Times New Roman"/>
        </w:rPr>
        <w:t xml:space="preserve">Hva er det egentlig som skjer med dannelsesromanen, så også selve begrepet </w:t>
      </w:r>
      <w:r w:rsidR="00062911" w:rsidRPr="00062911">
        <w:rPr>
          <w:rFonts w:ascii="Times New Roman" w:hAnsi="Times New Roman" w:cs="Times New Roman"/>
          <w:i/>
        </w:rPr>
        <w:t>dannelse</w:t>
      </w:r>
      <w:r w:rsidR="00062911">
        <w:rPr>
          <w:rFonts w:ascii="Times New Roman" w:hAnsi="Times New Roman" w:cs="Times New Roman"/>
          <w:i/>
        </w:rPr>
        <w:t>,</w:t>
      </w:r>
      <w:r w:rsidR="00062911">
        <w:rPr>
          <w:rFonts w:ascii="Times New Roman" w:hAnsi="Times New Roman" w:cs="Times New Roman"/>
        </w:rPr>
        <w:t xml:space="preserve"> i denne krigserklæringen og kan det hevdes at det her banes vei for en ytterligere bastardisering av romanen som form, hvilket også kan tenkes på peke mot fremveksten av den modernistiske romanen? </w:t>
      </w:r>
      <w:commentRangeEnd w:id="4"/>
      <w:r w:rsidR="00A16C99">
        <w:rPr>
          <w:rStyle w:val="Merknadsreferanse"/>
        </w:rPr>
        <w:commentReference w:id="4"/>
      </w:r>
      <w:r w:rsidR="00062911" w:rsidRPr="00062911">
        <w:rPr>
          <w:rFonts w:ascii="Times New Roman" w:hAnsi="Times New Roman" w:cs="Times New Roman"/>
        </w:rPr>
        <w:t>Jeg</w:t>
      </w:r>
      <w:r w:rsidR="00062911">
        <w:rPr>
          <w:rFonts w:ascii="Times New Roman" w:hAnsi="Times New Roman" w:cs="Times New Roman"/>
        </w:rPr>
        <w:t xml:space="preserve"> vil, som denne problemstillingen antyder, gå adskillig lengre enn Moretti og formulere følgende hypotese: </w:t>
      </w:r>
      <w:r w:rsidR="00062911">
        <w:rPr>
          <w:rFonts w:ascii="Times New Roman" w:hAnsi="Times New Roman" w:cs="Times New Roman"/>
          <w:i/>
        </w:rPr>
        <w:t>Deterritorialiseringen av</w:t>
      </w:r>
      <w:r w:rsidR="00780C10">
        <w:rPr>
          <w:rFonts w:ascii="Times New Roman" w:hAnsi="Times New Roman" w:cs="Times New Roman"/>
          <w:i/>
        </w:rPr>
        <w:t xml:space="preserve"> de to sentrale understrømmene som utgjør</w:t>
      </w:r>
      <w:r w:rsidR="00062911">
        <w:rPr>
          <w:rFonts w:ascii="Times New Roman" w:hAnsi="Times New Roman" w:cs="Times New Roman"/>
          <w:i/>
        </w:rPr>
        <w:t xml:space="preserve"> dannelsesromanens </w:t>
      </w:r>
      <w:r w:rsidR="00780C10">
        <w:rPr>
          <w:rFonts w:ascii="Times New Roman" w:hAnsi="Times New Roman" w:cs="Times New Roman"/>
          <w:i/>
        </w:rPr>
        <w:t xml:space="preserve">dialektiske dannelsesprosess, umuliggjør den som romanform og baner vei for dens endelige negasjon – den modernistiske roman. </w:t>
      </w:r>
    </w:p>
    <w:p w14:paraId="65249B6B" w14:textId="17408DA1" w:rsidR="0073697A" w:rsidRDefault="001C1E51" w:rsidP="0073697A">
      <w:pPr>
        <w:widowControl w:val="0"/>
        <w:autoSpaceDE w:val="0"/>
        <w:autoSpaceDN w:val="0"/>
        <w:adjustRightInd w:val="0"/>
        <w:spacing w:after="200" w:line="360" w:lineRule="auto"/>
        <w:rPr>
          <w:rFonts w:ascii="Times New Roman" w:hAnsi="Times New Roman" w:cs="Times New Roman"/>
          <w:b/>
          <w:iCs/>
          <w:u w:val="single"/>
        </w:rPr>
      </w:pPr>
      <w:r>
        <w:rPr>
          <w:rFonts w:ascii="Times New Roman" w:hAnsi="Times New Roman" w:cs="Times New Roman"/>
          <w:b/>
          <w:iCs/>
          <w:u w:val="single"/>
        </w:rPr>
        <w:t>Det teoretiske rammeverket og plan for oppgavens fremgang</w:t>
      </w:r>
    </w:p>
    <w:p w14:paraId="0D82B5D3" w14:textId="4FCD54C2" w:rsidR="00206CC1" w:rsidRDefault="00206CC1" w:rsidP="0073697A">
      <w:pPr>
        <w:widowControl w:val="0"/>
        <w:autoSpaceDE w:val="0"/>
        <w:autoSpaceDN w:val="0"/>
        <w:adjustRightInd w:val="0"/>
        <w:spacing w:after="200" w:line="360" w:lineRule="auto"/>
        <w:rPr>
          <w:rFonts w:ascii="Times New Roman" w:hAnsi="Times New Roman" w:cs="Times New Roman"/>
          <w:iCs/>
        </w:rPr>
      </w:pPr>
      <w:r>
        <w:rPr>
          <w:rFonts w:ascii="Times New Roman" w:hAnsi="Times New Roman" w:cs="Times New Roman"/>
          <w:iCs/>
        </w:rPr>
        <w:t xml:space="preserve">Oppgaven vil dermed sentrere seg rundt tre sentrale begreper: </w:t>
      </w:r>
      <w:r w:rsidRPr="00206CC1">
        <w:rPr>
          <w:rFonts w:ascii="Times New Roman" w:hAnsi="Times New Roman" w:cs="Times New Roman"/>
          <w:i/>
          <w:iCs/>
        </w:rPr>
        <w:t>Dannelsen</w:t>
      </w:r>
      <w:r>
        <w:rPr>
          <w:rFonts w:ascii="Times New Roman" w:hAnsi="Times New Roman" w:cs="Times New Roman"/>
          <w:iCs/>
        </w:rPr>
        <w:t xml:space="preserve"> og det negasjon, </w:t>
      </w:r>
      <w:r w:rsidRPr="00206CC1">
        <w:rPr>
          <w:rFonts w:ascii="Times New Roman" w:hAnsi="Times New Roman" w:cs="Times New Roman"/>
          <w:i/>
          <w:iCs/>
        </w:rPr>
        <w:t>anti-dannelsen</w:t>
      </w:r>
      <w:r>
        <w:rPr>
          <w:rFonts w:ascii="Times New Roman" w:hAnsi="Times New Roman" w:cs="Times New Roman"/>
          <w:iCs/>
        </w:rPr>
        <w:t xml:space="preserve">. Det tredje sentrale begrepet blir </w:t>
      </w:r>
      <w:r w:rsidRPr="00206CC1">
        <w:rPr>
          <w:rFonts w:ascii="Times New Roman" w:hAnsi="Times New Roman" w:cs="Times New Roman"/>
          <w:i/>
          <w:iCs/>
        </w:rPr>
        <w:t>deterritorialisering</w:t>
      </w:r>
      <w:r>
        <w:rPr>
          <w:rFonts w:ascii="Times New Roman" w:hAnsi="Times New Roman" w:cs="Times New Roman"/>
          <w:iCs/>
        </w:rPr>
        <w:t xml:space="preserve">, et deleuziansk begrep som skal bidra til å forklare negasjonen, og dermed også overgangen, fra </w:t>
      </w:r>
      <w:r>
        <w:rPr>
          <w:rFonts w:ascii="Times New Roman" w:hAnsi="Times New Roman" w:cs="Times New Roman"/>
          <w:i/>
          <w:iCs/>
        </w:rPr>
        <w:t>dannelse</w:t>
      </w:r>
      <w:r>
        <w:rPr>
          <w:rFonts w:ascii="Times New Roman" w:hAnsi="Times New Roman" w:cs="Times New Roman"/>
          <w:iCs/>
        </w:rPr>
        <w:t xml:space="preserve"> til </w:t>
      </w:r>
      <w:r>
        <w:rPr>
          <w:rFonts w:ascii="Times New Roman" w:hAnsi="Times New Roman" w:cs="Times New Roman"/>
          <w:i/>
          <w:iCs/>
        </w:rPr>
        <w:t>anti-</w:t>
      </w:r>
      <w:commentRangeStart w:id="5"/>
      <w:r>
        <w:rPr>
          <w:rFonts w:ascii="Times New Roman" w:hAnsi="Times New Roman" w:cs="Times New Roman"/>
          <w:i/>
          <w:iCs/>
        </w:rPr>
        <w:t>dannelse</w:t>
      </w:r>
      <w:commentRangeEnd w:id="5"/>
      <w:r w:rsidR="006E7AF7">
        <w:rPr>
          <w:rStyle w:val="Merknadsreferanse"/>
        </w:rPr>
        <w:commentReference w:id="5"/>
      </w:r>
      <w:r>
        <w:rPr>
          <w:rFonts w:ascii="Times New Roman" w:hAnsi="Times New Roman" w:cs="Times New Roman"/>
          <w:iCs/>
        </w:rPr>
        <w:t xml:space="preserve">. </w:t>
      </w:r>
    </w:p>
    <w:p w14:paraId="133966A7" w14:textId="40983E2C" w:rsidR="00206CC1" w:rsidRDefault="00206CC1" w:rsidP="0073697A">
      <w:pPr>
        <w:widowControl w:val="0"/>
        <w:autoSpaceDE w:val="0"/>
        <w:autoSpaceDN w:val="0"/>
        <w:adjustRightInd w:val="0"/>
        <w:spacing w:after="200" w:line="360" w:lineRule="auto"/>
        <w:rPr>
          <w:rFonts w:ascii="Times New Roman" w:hAnsi="Times New Roman" w:cs="Times New Roman"/>
          <w:iCs/>
        </w:rPr>
      </w:pPr>
      <w:r>
        <w:rPr>
          <w:rFonts w:ascii="Times New Roman" w:hAnsi="Times New Roman" w:cs="Times New Roman"/>
          <w:iCs/>
        </w:rPr>
        <w:t xml:space="preserve">Det teoretiske rammeverket til </w:t>
      </w:r>
      <w:r>
        <w:rPr>
          <w:rFonts w:ascii="Times New Roman" w:hAnsi="Times New Roman" w:cs="Times New Roman"/>
          <w:i/>
          <w:iCs/>
        </w:rPr>
        <w:t>dannelsesbegrepet</w:t>
      </w:r>
      <w:r>
        <w:rPr>
          <w:rFonts w:ascii="Times New Roman" w:hAnsi="Times New Roman" w:cs="Times New Roman"/>
          <w:iCs/>
        </w:rPr>
        <w:t xml:space="preserve"> vil være Gadamers tanker om dannelse innledningsvis i</w:t>
      </w:r>
      <w:r w:rsidRPr="00D654E3">
        <w:rPr>
          <w:rFonts w:ascii="Times New Roman" w:hAnsi="Times New Roman" w:cs="Times New Roman"/>
          <w:iCs/>
        </w:rPr>
        <w:t xml:space="preserve"> </w:t>
      </w:r>
      <w:r w:rsidRPr="008F6241">
        <w:rPr>
          <w:rFonts w:ascii="Times New Roman" w:hAnsi="Times New Roman" w:cs="Times New Roman"/>
          <w:i/>
          <w:iCs/>
        </w:rPr>
        <w:t>Wahrheit und Methode</w:t>
      </w:r>
      <w:r>
        <w:rPr>
          <w:rFonts w:ascii="Times New Roman" w:hAnsi="Times New Roman" w:cs="Times New Roman"/>
          <w:i/>
          <w:iCs/>
        </w:rPr>
        <w:t xml:space="preserve">, </w:t>
      </w:r>
      <w:r>
        <w:rPr>
          <w:rFonts w:ascii="Times New Roman" w:hAnsi="Times New Roman" w:cs="Times New Roman"/>
          <w:iCs/>
        </w:rPr>
        <w:t xml:space="preserve">samt lignende definisjoner fra Franco Morettis </w:t>
      </w:r>
      <w:r>
        <w:rPr>
          <w:rFonts w:ascii="Times New Roman" w:hAnsi="Times New Roman" w:cs="Times New Roman"/>
          <w:i/>
          <w:iCs/>
        </w:rPr>
        <w:t>The Way of the World</w:t>
      </w:r>
      <w:r>
        <w:rPr>
          <w:rFonts w:ascii="Times New Roman" w:hAnsi="Times New Roman" w:cs="Times New Roman"/>
          <w:iCs/>
        </w:rPr>
        <w:t xml:space="preserve"> og Georg Lukács </w:t>
      </w:r>
      <w:r>
        <w:rPr>
          <w:rFonts w:ascii="Times New Roman" w:hAnsi="Times New Roman" w:cs="Times New Roman"/>
          <w:i/>
          <w:iCs/>
        </w:rPr>
        <w:t>Romanens teori</w:t>
      </w:r>
      <w:r>
        <w:rPr>
          <w:rFonts w:ascii="Times New Roman" w:hAnsi="Times New Roman" w:cs="Times New Roman"/>
          <w:iCs/>
        </w:rPr>
        <w:t xml:space="preserve">. </w:t>
      </w:r>
      <w:r w:rsidR="001C1E51">
        <w:rPr>
          <w:rFonts w:ascii="Times New Roman" w:hAnsi="Times New Roman" w:cs="Times New Roman"/>
          <w:iCs/>
        </w:rPr>
        <w:t xml:space="preserve">Her vil en relativt kortfattet analyse av dannelsesprosessen i </w:t>
      </w:r>
      <w:r w:rsidR="001C1E51">
        <w:rPr>
          <w:rFonts w:ascii="Times New Roman" w:hAnsi="Times New Roman" w:cs="Times New Roman"/>
          <w:i/>
          <w:iCs/>
        </w:rPr>
        <w:t>Wilhelm Meister</w:t>
      </w:r>
      <w:r w:rsidR="001C1E51">
        <w:rPr>
          <w:rFonts w:ascii="Times New Roman" w:hAnsi="Times New Roman" w:cs="Times New Roman"/>
          <w:iCs/>
        </w:rPr>
        <w:t xml:space="preserve"> være sentral.</w:t>
      </w:r>
      <w:r w:rsidR="001C1E51">
        <w:rPr>
          <w:rFonts w:ascii="Times New Roman" w:hAnsi="Times New Roman" w:cs="Times New Roman"/>
          <w:i/>
          <w:iCs/>
        </w:rPr>
        <w:t xml:space="preserve"> </w:t>
      </w:r>
      <w:r w:rsidR="001C1E51">
        <w:rPr>
          <w:rFonts w:ascii="Times New Roman" w:hAnsi="Times New Roman" w:cs="Times New Roman"/>
          <w:iCs/>
        </w:rPr>
        <w:t xml:space="preserve">For å påvise dannelsesprosessens dialektikk vil også Hegels </w:t>
      </w:r>
      <w:r w:rsidR="001C1E51">
        <w:rPr>
          <w:rFonts w:ascii="Times New Roman" w:hAnsi="Times New Roman" w:cs="Times New Roman"/>
          <w:i/>
          <w:iCs/>
        </w:rPr>
        <w:t>Logikken (den lille logikken)</w:t>
      </w:r>
      <w:r w:rsidR="001C1E51">
        <w:rPr>
          <w:rFonts w:ascii="Times New Roman" w:hAnsi="Times New Roman" w:cs="Times New Roman"/>
          <w:iCs/>
        </w:rPr>
        <w:t xml:space="preserve"> måtte nevnes. </w:t>
      </w:r>
      <w:r>
        <w:rPr>
          <w:rFonts w:ascii="Times New Roman" w:hAnsi="Times New Roman" w:cs="Times New Roman"/>
          <w:iCs/>
        </w:rPr>
        <w:t xml:space="preserve">Når oppgaven videre skal bevege seg inn i </w:t>
      </w:r>
      <w:r>
        <w:rPr>
          <w:rFonts w:ascii="Times New Roman" w:hAnsi="Times New Roman" w:cs="Times New Roman"/>
          <w:i/>
          <w:iCs/>
        </w:rPr>
        <w:t>dannelsens deterritorialisering</w:t>
      </w:r>
      <w:r>
        <w:rPr>
          <w:rFonts w:ascii="Times New Roman" w:hAnsi="Times New Roman" w:cs="Times New Roman"/>
          <w:iCs/>
        </w:rPr>
        <w:t xml:space="preserve"> vil naturligvis Deleuze og Guattaris </w:t>
      </w:r>
      <w:r>
        <w:rPr>
          <w:rFonts w:ascii="Times New Roman" w:hAnsi="Times New Roman" w:cs="Times New Roman"/>
          <w:i/>
          <w:iCs/>
        </w:rPr>
        <w:t>Anti-Oedipus</w:t>
      </w:r>
      <w:r>
        <w:rPr>
          <w:rFonts w:ascii="Times New Roman" w:hAnsi="Times New Roman" w:cs="Times New Roman"/>
          <w:iCs/>
        </w:rPr>
        <w:t xml:space="preserve"> samt enkelte kapitler fra </w:t>
      </w:r>
      <w:r>
        <w:rPr>
          <w:rFonts w:ascii="Times New Roman" w:hAnsi="Times New Roman" w:cs="Times New Roman"/>
          <w:i/>
          <w:iCs/>
        </w:rPr>
        <w:t>Tusind P</w:t>
      </w:r>
      <w:r w:rsidR="001C1E51">
        <w:rPr>
          <w:rFonts w:ascii="Times New Roman" w:hAnsi="Times New Roman" w:cs="Times New Roman"/>
          <w:i/>
          <w:iCs/>
        </w:rPr>
        <w:t>lateuer</w:t>
      </w:r>
      <w:r w:rsidR="001C1E51">
        <w:rPr>
          <w:rFonts w:ascii="Times New Roman" w:hAnsi="Times New Roman" w:cs="Times New Roman"/>
          <w:iCs/>
        </w:rPr>
        <w:t xml:space="preserve"> være </w:t>
      </w:r>
      <w:commentRangeStart w:id="6"/>
      <w:r w:rsidR="001C1E51">
        <w:rPr>
          <w:rFonts w:ascii="Times New Roman" w:hAnsi="Times New Roman" w:cs="Times New Roman"/>
          <w:iCs/>
        </w:rPr>
        <w:t>nyttige</w:t>
      </w:r>
      <w:commentRangeEnd w:id="6"/>
      <w:r w:rsidR="006E7AF7">
        <w:rPr>
          <w:rStyle w:val="Merknadsreferanse"/>
        </w:rPr>
        <w:commentReference w:id="6"/>
      </w:r>
      <w:r w:rsidR="001C1E51">
        <w:rPr>
          <w:rFonts w:ascii="Times New Roman" w:hAnsi="Times New Roman" w:cs="Times New Roman"/>
          <w:iCs/>
        </w:rPr>
        <w:t xml:space="preserve">. For å påvise denne </w:t>
      </w:r>
      <w:r w:rsidR="001C1E51">
        <w:rPr>
          <w:rFonts w:ascii="Times New Roman" w:hAnsi="Times New Roman" w:cs="Times New Roman"/>
          <w:i/>
          <w:iCs/>
        </w:rPr>
        <w:t>dannelsens deterritorialisering</w:t>
      </w:r>
      <w:r w:rsidR="001C1E51">
        <w:rPr>
          <w:rFonts w:ascii="Times New Roman" w:hAnsi="Times New Roman" w:cs="Times New Roman"/>
          <w:iCs/>
        </w:rPr>
        <w:t xml:space="preserve"> vil det forekomme en analyse av Balzacs </w:t>
      </w:r>
      <w:r w:rsidR="00BD6118">
        <w:rPr>
          <w:rFonts w:ascii="Times New Roman" w:hAnsi="Times New Roman" w:cs="Times New Roman"/>
          <w:i/>
          <w:iCs/>
        </w:rPr>
        <w:t xml:space="preserve">Le </w:t>
      </w:r>
      <w:r w:rsidR="001C1E51">
        <w:rPr>
          <w:rFonts w:ascii="Times New Roman" w:hAnsi="Times New Roman" w:cs="Times New Roman"/>
          <w:i/>
          <w:iCs/>
        </w:rPr>
        <w:t>Pere Goriot</w:t>
      </w:r>
      <w:r w:rsidR="001C1E51">
        <w:rPr>
          <w:rFonts w:ascii="Times New Roman" w:hAnsi="Times New Roman" w:cs="Times New Roman"/>
          <w:iCs/>
        </w:rPr>
        <w:t xml:space="preserve">, som leses opp mot Lukacs og Moretti, slik det forsøksvis er beskrevet i denne prosjektbeskrivelsen. Avslutningsvis vil det påpekes hvordan den smått begynnende </w:t>
      </w:r>
      <w:r w:rsidR="001C1E51" w:rsidRPr="001C1E51">
        <w:rPr>
          <w:rFonts w:ascii="Times New Roman" w:hAnsi="Times New Roman" w:cs="Times New Roman"/>
          <w:i/>
          <w:iCs/>
        </w:rPr>
        <w:t xml:space="preserve">deterritorialiseringen </w:t>
      </w:r>
      <w:r w:rsidR="001C1E51">
        <w:rPr>
          <w:rFonts w:ascii="Times New Roman" w:hAnsi="Times New Roman" w:cs="Times New Roman"/>
          <w:iCs/>
        </w:rPr>
        <w:t xml:space="preserve">fra </w:t>
      </w:r>
      <w:r w:rsidR="00BD6118">
        <w:rPr>
          <w:rFonts w:ascii="Times New Roman" w:hAnsi="Times New Roman" w:cs="Times New Roman"/>
          <w:i/>
          <w:iCs/>
        </w:rPr>
        <w:t xml:space="preserve">Le </w:t>
      </w:r>
      <w:r w:rsidR="001C1E51">
        <w:rPr>
          <w:rFonts w:ascii="Times New Roman" w:hAnsi="Times New Roman" w:cs="Times New Roman"/>
          <w:i/>
          <w:iCs/>
        </w:rPr>
        <w:t>Pere Goriot</w:t>
      </w:r>
      <w:r w:rsidR="001C1E51">
        <w:rPr>
          <w:rFonts w:ascii="Times New Roman" w:hAnsi="Times New Roman" w:cs="Times New Roman"/>
          <w:iCs/>
        </w:rPr>
        <w:t xml:space="preserve"> endelig fullendes i en endelig negasjon av dannelsesromanen i den modernistiske roman, her eksemplifisert ved Knut Hamsuns </w:t>
      </w:r>
      <w:r w:rsidR="001C1E51">
        <w:rPr>
          <w:rFonts w:ascii="Times New Roman" w:hAnsi="Times New Roman" w:cs="Times New Roman"/>
          <w:i/>
          <w:iCs/>
        </w:rPr>
        <w:t>Sult</w:t>
      </w:r>
      <w:r w:rsidR="001C1E51">
        <w:rPr>
          <w:rFonts w:ascii="Times New Roman" w:hAnsi="Times New Roman" w:cs="Times New Roman"/>
          <w:iCs/>
        </w:rPr>
        <w:t xml:space="preserve">, </w:t>
      </w:r>
      <w:commentRangeStart w:id="7"/>
      <w:r w:rsidR="007933F2">
        <w:rPr>
          <w:rFonts w:ascii="Times New Roman" w:hAnsi="Times New Roman" w:cs="Times New Roman"/>
          <w:iCs/>
        </w:rPr>
        <w:t>hvor</w:t>
      </w:r>
      <w:commentRangeEnd w:id="7"/>
      <w:r w:rsidR="006E7AF7">
        <w:rPr>
          <w:rStyle w:val="Merknadsreferanse"/>
        </w:rPr>
        <w:commentReference w:id="7"/>
      </w:r>
      <w:r w:rsidR="007933F2">
        <w:rPr>
          <w:rFonts w:ascii="Times New Roman" w:hAnsi="Times New Roman" w:cs="Times New Roman"/>
          <w:iCs/>
        </w:rPr>
        <w:t xml:space="preserve"> </w:t>
      </w:r>
      <w:r w:rsidR="001C1E51">
        <w:rPr>
          <w:rFonts w:ascii="Times New Roman" w:hAnsi="Times New Roman" w:cs="Times New Roman"/>
          <w:i/>
          <w:iCs/>
        </w:rPr>
        <w:t>anti-dannelsen</w:t>
      </w:r>
      <w:r w:rsidR="007933F2">
        <w:rPr>
          <w:rFonts w:ascii="Times New Roman" w:hAnsi="Times New Roman" w:cs="Times New Roman"/>
          <w:iCs/>
        </w:rPr>
        <w:t xml:space="preserve"> karakteriseres av hvordan romanens helt avviser all materialitet og romanen som form har trukket inn i seg selv </w:t>
      </w:r>
      <w:r w:rsidR="007933F2">
        <w:rPr>
          <w:rFonts w:ascii="Times New Roman" w:hAnsi="Times New Roman" w:cs="Times New Roman"/>
          <w:i/>
          <w:iCs/>
        </w:rPr>
        <w:t>som form</w:t>
      </w:r>
      <w:r w:rsidR="007933F2">
        <w:rPr>
          <w:rFonts w:ascii="Times New Roman" w:hAnsi="Times New Roman" w:cs="Times New Roman"/>
          <w:iCs/>
        </w:rPr>
        <w:t xml:space="preserve">. Her vil Georg Lukács være et viktig teoretisk </w:t>
      </w:r>
      <w:commentRangeStart w:id="8"/>
      <w:r w:rsidR="007933F2">
        <w:rPr>
          <w:rFonts w:ascii="Times New Roman" w:hAnsi="Times New Roman" w:cs="Times New Roman"/>
          <w:iCs/>
        </w:rPr>
        <w:t>referansepunkt</w:t>
      </w:r>
      <w:commentRangeEnd w:id="8"/>
      <w:r w:rsidR="006E7AF7">
        <w:rPr>
          <w:rStyle w:val="Merknadsreferanse"/>
        </w:rPr>
        <w:commentReference w:id="8"/>
      </w:r>
      <w:r w:rsidR="007933F2">
        <w:rPr>
          <w:rFonts w:ascii="Times New Roman" w:hAnsi="Times New Roman" w:cs="Times New Roman"/>
          <w:iCs/>
        </w:rPr>
        <w:t>.</w:t>
      </w:r>
    </w:p>
    <w:p w14:paraId="4B2BE252" w14:textId="77777777" w:rsidR="0073697A" w:rsidRPr="00B66DC4" w:rsidRDefault="0073697A" w:rsidP="0073697A">
      <w:pPr>
        <w:widowControl w:val="0"/>
        <w:autoSpaceDE w:val="0"/>
        <w:autoSpaceDN w:val="0"/>
        <w:adjustRightInd w:val="0"/>
        <w:spacing w:after="200" w:line="360" w:lineRule="auto"/>
        <w:rPr>
          <w:rFonts w:ascii="Times New Roman" w:hAnsi="Times New Roman" w:cs="Times New Roman"/>
          <w:iCs/>
        </w:rPr>
      </w:pPr>
    </w:p>
    <w:p w14:paraId="6D964D36" w14:textId="77777777" w:rsidR="004E22A0" w:rsidRDefault="004E22A0"/>
    <w:sectPr w:rsidR="004E22A0" w:rsidSect="00492672">
      <w:headerReference w:type="even" r:id="rId9"/>
      <w:headerReference w:type="default" r:id="rId10"/>
      <w:footerReference w:type="default" r:id="rId11"/>
      <w:pgSz w:w="11900" w:h="16840"/>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Emma Helene Heggdal" w:date="2017-10-19T17:49:00Z" w:initials="EHH">
    <w:p w14:paraId="5210D93B" w14:textId="484C4A3F" w:rsidR="002165D9" w:rsidRDefault="00532295">
      <w:pPr>
        <w:pStyle w:val="Merknadstekst"/>
      </w:pPr>
      <w:r>
        <w:rPr>
          <w:rStyle w:val="Merknadsreferanse"/>
        </w:rPr>
        <w:annotationRef/>
      </w:r>
      <w:r w:rsidR="00261BDA">
        <w:t xml:space="preserve">Joakim, her har du, som du skriver innledningsvis, vinklet prosjektet på en litt ny måte og funnet mer materiale for ditt teoretiske utgangspunkt. Du kommer med flere </w:t>
      </w:r>
      <w:r w:rsidR="00054A29">
        <w:t>referanser</w:t>
      </w:r>
      <w:r w:rsidR="00232FBA">
        <w:t xml:space="preserve">, både teoretiske og </w:t>
      </w:r>
      <w:r w:rsidR="002165D9">
        <w:t>fra for</w:t>
      </w:r>
      <w:r w:rsidR="00304AFB">
        <w:t xml:space="preserve">skningstradisjonen. Det er bra: fortsett med dette arbeidet. </w:t>
      </w:r>
    </w:p>
    <w:p w14:paraId="6F6C0B95" w14:textId="77777777" w:rsidR="002165D9" w:rsidRDefault="002165D9">
      <w:pPr>
        <w:pStyle w:val="Merknadstekst"/>
      </w:pPr>
      <w:r>
        <w:t xml:space="preserve">Overordnet sett begynner også oppsettet ditt å komme på plass. </w:t>
      </w:r>
    </w:p>
    <w:p w14:paraId="7A93B018" w14:textId="77777777" w:rsidR="00D477AD" w:rsidRDefault="00D477AD">
      <w:pPr>
        <w:pStyle w:val="Merknadstekst"/>
      </w:pPr>
    </w:p>
    <w:p w14:paraId="085D63F8" w14:textId="72993503" w:rsidR="00532295" w:rsidRDefault="002165D9">
      <w:pPr>
        <w:pStyle w:val="Merknadstekst"/>
      </w:pPr>
      <w:r>
        <w:t>Men: jeg lurer på om du burde ha, helst tidl</w:t>
      </w:r>
      <w:r w:rsidR="00D477AD">
        <w:t xml:space="preserve">ig, en egen underoverskrift med noen avsnitt som demonstrerer på en elegant måte, slik du gjerne skriver, hva du mener med kannibalbegrepet og hvordan du mener det er produktivt å bruke det i din sammenheng. Slik det er nå, kommer det liksom bakt inn, som om du forsøker å smugle det inn bakveien. Bedre å være ”up front” om det og si det med en gang! Dette er begrepet(/ene) jeg vil bruke, og derfor vil jeg bruke dem. Her vil, slik jeg forstår deg, også begrepet om anti-dannelse, som du brygger på under overflaten her, også kunne komme frem. Jeg tror det blir best om disse begrepene kommer først, deretter dine lesninger basert på og med øye for det begrepene innebefatter og frembringer i lesningen. </w:t>
      </w:r>
    </w:p>
  </w:comment>
  <w:comment w:id="1" w:author="Emma Helene Heggdal" w:date="2017-10-19T18:24:00Z" w:initials="EHH">
    <w:p w14:paraId="13584B4D" w14:textId="1DEAF0F6" w:rsidR="001810AE" w:rsidRDefault="001810AE">
      <w:pPr>
        <w:pStyle w:val="Merknadstekst"/>
      </w:pPr>
      <w:r>
        <w:rPr>
          <w:rStyle w:val="Merknadsreferanse"/>
        </w:rPr>
        <w:annotationRef/>
      </w:r>
      <w:r>
        <w:t xml:space="preserve">Beskrivelse av prosjektet i en kort setning – problemstilling. </w:t>
      </w:r>
    </w:p>
  </w:comment>
  <w:comment w:id="2" w:author="Emma Helene Heggdal" w:date="2017-10-19T18:23:00Z" w:initials="EHH">
    <w:p w14:paraId="6D680692" w14:textId="77777777" w:rsidR="00017EA9" w:rsidRDefault="001810AE">
      <w:pPr>
        <w:pStyle w:val="Merknadstekst"/>
      </w:pPr>
      <w:r>
        <w:rPr>
          <w:rStyle w:val="Merknadsreferanse"/>
        </w:rPr>
        <w:annotationRef/>
      </w:r>
      <w:r>
        <w:t>Innledningen din er fin: den setter frem emneområdet ditt (hvert fall det helt overordnede) for så å forklare hvilken kontekst du velger å fokusere emneområdet ditt inn på.</w:t>
      </w:r>
    </w:p>
    <w:p w14:paraId="4D20BEDD" w14:textId="77777777" w:rsidR="00017EA9" w:rsidRDefault="001810AE">
      <w:pPr>
        <w:pStyle w:val="Merknadstekst"/>
      </w:pPr>
      <w:r>
        <w:t xml:space="preserve"> Så kommer problemstillingen din frem, fremsatt som prosjektets mål. </w:t>
      </w:r>
    </w:p>
    <w:p w14:paraId="48D81715" w14:textId="77777777" w:rsidR="001810AE" w:rsidRDefault="00017EA9">
      <w:pPr>
        <w:pStyle w:val="Merknadstekst"/>
      </w:pPr>
      <w:r>
        <w:t xml:space="preserve">Deretter motivasjon. Fint og klart. </w:t>
      </w:r>
    </w:p>
    <w:p w14:paraId="0E5D5667" w14:textId="72AE5941" w:rsidR="00017EA9" w:rsidRDefault="00017EA9">
      <w:pPr>
        <w:pStyle w:val="Merknadstekst"/>
      </w:pPr>
      <w:r>
        <w:t xml:space="preserve">En ting: allerede her, når du legger frem ditt prosjekts mål, kan du nevne materialet ditt: da vil innledningen inneha alle de fremste kompontentene til PBen, og slik sette prosjektet ditt an på en god og klar måte. </w:t>
      </w:r>
    </w:p>
  </w:comment>
  <w:comment w:id="3" w:author="Emma Helene Heggdal" w:date="2017-10-19T18:29:00Z" w:initials="EHH">
    <w:p w14:paraId="6749EA2E" w14:textId="77777777" w:rsidR="00FB18D9" w:rsidRDefault="00FB18D9">
      <w:pPr>
        <w:pStyle w:val="Merknadstekst"/>
      </w:pPr>
      <w:r>
        <w:rPr>
          <w:rStyle w:val="Merknadsreferanse"/>
        </w:rPr>
        <w:annotationRef/>
      </w:r>
      <w:r>
        <w:t xml:space="preserve">Her kommer kannibalen inn, på side tre, nærmest umerkelig, og elegant, plassert i utlegningen din av det teoretiske grunnlaget du har funnet hos Lukacs. </w:t>
      </w:r>
    </w:p>
    <w:p w14:paraId="0D393A2F" w14:textId="77777777" w:rsidR="00FB18D9" w:rsidRDefault="00FB18D9">
      <w:pPr>
        <w:pStyle w:val="Merknadstekst"/>
      </w:pPr>
      <w:r>
        <w:t xml:space="preserve">Dette teorigrunnlaget kan godt stå slik som det gjør, men jeg tror likevel du gjør lurt i å presentere kannibalbegrepet tidligere, og utfyllende, så man ikke overraskes – her kommer det litt bardus på når man faktisk ser hva det handler om. </w:t>
      </w:r>
    </w:p>
    <w:p w14:paraId="70D6DC90" w14:textId="466AEC98" w:rsidR="00FB18D9" w:rsidRDefault="00FB18D9">
      <w:pPr>
        <w:pStyle w:val="Merknadstekst"/>
      </w:pPr>
      <w:r>
        <w:t xml:space="preserve">Kanskje dette kan løses bare med en setning når du begynner på delen om dannelsesromanens helt, om at du vil bruke begrepet om en kannibalistisk struktur om dens utvikling? </w:t>
      </w:r>
    </w:p>
  </w:comment>
  <w:comment w:id="4" w:author="Emma Helene Heggdal" w:date="2017-10-19T18:37:00Z" w:initials="EHH">
    <w:p w14:paraId="1F60B5E9" w14:textId="77777777" w:rsidR="00A16C99" w:rsidRDefault="00A16C99">
      <w:pPr>
        <w:pStyle w:val="Merknadstekst"/>
      </w:pPr>
      <w:r>
        <w:rPr>
          <w:rStyle w:val="Merknadsreferanse"/>
        </w:rPr>
        <w:annotationRef/>
      </w:r>
      <w:r>
        <w:t xml:space="preserve">Her har du en problemstilling knyttet til oppgavens mål, introdusert innledningsvis. Her stiller du en rekke spørsmål på en gang, som peker mot hypotesen som følger. </w:t>
      </w:r>
      <w:r w:rsidR="006E7AF7">
        <w:t xml:space="preserve">Du ønsker å undersøke det du mener er et oversett aspekt ved den modernistiske romans fremvekst. </w:t>
      </w:r>
    </w:p>
    <w:p w14:paraId="013DD3D6" w14:textId="23F310CF" w:rsidR="006E7AF7" w:rsidRDefault="006E7AF7">
      <w:pPr>
        <w:pStyle w:val="Merknadstekst"/>
      </w:pPr>
      <w:r>
        <w:t xml:space="preserve">Dette er fint, du legger det frem relativt klart. </w:t>
      </w:r>
    </w:p>
  </w:comment>
  <w:comment w:id="5" w:author="Emma Helene Heggdal" w:date="2017-10-19T18:39:00Z" w:initials="EHH">
    <w:p w14:paraId="742AE4F3" w14:textId="77777777" w:rsidR="006E7AF7" w:rsidRDefault="006E7AF7">
      <w:pPr>
        <w:pStyle w:val="Merknadstekst"/>
      </w:pPr>
      <w:r>
        <w:rPr>
          <w:rStyle w:val="Merknadsreferanse"/>
        </w:rPr>
        <w:annotationRef/>
      </w:r>
      <w:r>
        <w:t>Du presenterer her tre begreper, dannelse, anti-dannelse og deterritorialisering. Spennende</w:t>
      </w:r>
    </w:p>
    <w:p w14:paraId="3ED8A872" w14:textId="4C265992" w:rsidR="006E7AF7" w:rsidRDefault="006E7AF7">
      <w:pPr>
        <w:pStyle w:val="Merknadstekst"/>
      </w:pPr>
      <w:r>
        <w:t xml:space="preserve">Men: Ikke kannibalbegrepet? </w:t>
      </w:r>
    </w:p>
  </w:comment>
  <w:comment w:id="6" w:author="Emma Helene Heggdal" w:date="2017-10-19T18:40:00Z" w:initials="EHH">
    <w:p w14:paraId="7647127F" w14:textId="7BD89BC7" w:rsidR="006E7AF7" w:rsidRDefault="006E7AF7">
      <w:pPr>
        <w:pStyle w:val="Merknadstekst"/>
      </w:pPr>
      <w:r>
        <w:rPr>
          <w:rStyle w:val="Merknadsreferanse"/>
        </w:rPr>
        <w:annotationRef/>
      </w:r>
      <w:r>
        <w:t xml:space="preserve">Så presenterer du det fulle teorirammeverket du har laget, som virker anvendelig og fruktbart. </w:t>
      </w:r>
    </w:p>
  </w:comment>
  <w:comment w:id="7" w:author="Emma Helene Heggdal" w:date="2017-10-19T18:41:00Z" w:initials="EHH">
    <w:p w14:paraId="3FDD29F6" w14:textId="02C64F1B" w:rsidR="006E7AF7" w:rsidRDefault="006E7AF7">
      <w:pPr>
        <w:pStyle w:val="Merknadstekst"/>
      </w:pPr>
      <w:r>
        <w:rPr>
          <w:rStyle w:val="Merknadsreferanse"/>
        </w:rPr>
        <w:annotationRef/>
      </w:r>
      <w:r>
        <w:t xml:space="preserve">Først helt til slutt nevner du materialet ditt til det fulle: Le Pere Goriot og Sult. Som nevnt tidligere burde dette komme frem tidligere, gjerne i innledningen. </w:t>
      </w:r>
    </w:p>
  </w:comment>
  <w:comment w:id="8" w:author="Emma Helene Heggdal" w:date="2017-10-19T18:42:00Z" w:initials="EHH">
    <w:p w14:paraId="52DA7C04" w14:textId="7C9B2CDE" w:rsidR="006E7AF7" w:rsidRDefault="006E7AF7">
      <w:pPr>
        <w:pStyle w:val="Merknadstekst"/>
      </w:pPr>
      <w:r>
        <w:rPr>
          <w:rStyle w:val="Merknadsreferanse"/>
        </w:rPr>
        <w:annotationRef/>
      </w:r>
      <w:r>
        <w:t xml:space="preserve">Prosjektet har nå kommet en lang vei: Du har funnet flere teoretiske bein å stå på, etablert godt og klart begrepet om dannelse og utviklingen i dannelseshelten og –romanen. Du har valgt materiale og fremsetter relativt klare problemstillinger og hypoteser. Disse kan muligens skrus til enda bedre. </w:t>
      </w:r>
    </w:p>
    <w:p w14:paraId="59F3822C" w14:textId="77777777" w:rsidR="00F52B01" w:rsidRDefault="00F52B01">
      <w:pPr>
        <w:pStyle w:val="Merknadstekst"/>
      </w:pPr>
    </w:p>
    <w:p w14:paraId="1CA0A555" w14:textId="6DD5B915" w:rsidR="00F52B01" w:rsidRDefault="006E7AF7">
      <w:pPr>
        <w:pStyle w:val="Merknadstekst"/>
      </w:pPr>
      <w:r>
        <w:t xml:space="preserve">Det som gjenstår er en ryddig presentasjon av begrepene dine: dannelse presenterer du nøye, men anti-dannelse, deterritorialisering og kannibalismen må komme tydeligere fram. </w:t>
      </w:r>
      <w:bookmarkStart w:id="9" w:name="_GoBack"/>
      <w:bookmarkEnd w:id="9"/>
    </w:p>
    <w:p w14:paraId="65BF797C" w14:textId="77777777" w:rsidR="006E7AF7" w:rsidRDefault="006E7AF7">
      <w:pPr>
        <w:pStyle w:val="Merknadstekst"/>
      </w:pPr>
      <w:r>
        <w:t xml:space="preserve">Deretter gjenstår det også litt forskningstradisjon, på dine to verk, og å utfylle litt om tidligere forskning på dannelsesromanen. </w:t>
      </w:r>
    </w:p>
    <w:p w14:paraId="786D8552" w14:textId="77777777" w:rsidR="00F52B01" w:rsidRDefault="00F52B01">
      <w:pPr>
        <w:pStyle w:val="Merknadstekst"/>
      </w:pPr>
    </w:p>
    <w:p w14:paraId="4010EA60" w14:textId="7700B2C8" w:rsidR="00A031D5" w:rsidRDefault="00A031D5">
      <w:pPr>
        <w:pStyle w:val="Merknadstekst"/>
      </w:pPr>
      <w:r>
        <w:t>Det kan også hende det kan gjøre seg med noen tekst-eksempler som illustrere</w:t>
      </w:r>
      <w:r w:rsidR="00A53016">
        <w:t xml:space="preserve">r akkurat hva du ønsker å vise med de to romanene du har valgt. Sult kan også i det hele tatt beskrives med et eget avsnitt og forklares innenfor ditt emneområde noe ytterligere. </w:t>
      </w:r>
    </w:p>
    <w:p w14:paraId="7DA4671B" w14:textId="77777777" w:rsidR="00332802" w:rsidRDefault="00332802">
      <w:pPr>
        <w:pStyle w:val="Merknadstekst"/>
      </w:pPr>
    </w:p>
    <w:p w14:paraId="639A5E73" w14:textId="77777777" w:rsidR="00332802" w:rsidRDefault="00332802">
      <w:pPr>
        <w:pStyle w:val="Merknadstekst"/>
      </w:pPr>
      <w:r>
        <w:t xml:space="preserve">Det aller siste dere skal ha med er fremdriftsplanen: i hvilke semestre du skal gjøre hva – noe som skrives fort, men som ikke må glemmes. </w:t>
      </w:r>
    </w:p>
    <w:p w14:paraId="342656AB" w14:textId="77777777" w:rsidR="001F4B06" w:rsidRDefault="001F4B06">
      <w:pPr>
        <w:pStyle w:val="Merknadstekst"/>
      </w:pPr>
    </w:p>
    <w:p w14:paraId="0CD57D9A" w14:textId="7D2E2E5B" w:rsidR="001F4B06" w:rsidRDefault="00502033">
      <w:pPr>
        <w:pStyle w:val="Merknadstekst"/>
      </w:pPr>
      <w:r>
        <w:t>Du har kommet et godt stykke - g</w:t>
      </w:r>
      <w:r w:rsidR="001F4B06">
        <w:t xml:space="preserve">od arbeidslyst videre! </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5D63F8" w15:done="0"/>
  <w15:commentEx w15:paraId="13584B4D" w15:done="0"/>
  <w15:commentEx w15:paraId="0E5D5667" w15:done="0"/>
  <w15:commentEx w15:paraId="70D6DC90" w15:done="0"/>
  <w15:commentEx w15:paraId="013DD3D6" w15:done="0"/>
  <w15:commentEx w15:paraId="3ED8A872" w15:done="0"/>
  <w15:commentEx w15:paraId="7647127F" w15:done="0"/>
  <w15:commentEx w15:paraId="3FDD29F6" w15:done="0"/>
  <w15:commentEx w15:paraId="0CD57D9A"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23678E" w14:textId="77777777" w:rsidR="00C409E4" w:rsidRDefault="00C409E4" w:rsidP="00826C9F">
      <w:r>
        <w:separator/>
      </w:r>
    </w:p>
  </w:endnote>
  <w:endnote w:type="continuationSeparator" w:id="0">
    <w:p w14:paraId="01AAB582" w14:textId="77777777" w:rsidR="00C409E4" w:rsidRDefault="00C409E4" w:rsidP="00826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PMingLiU">
    <w:panose1 w:val="02020500000000000000"/>
    <w:charset w:val="88"/>
    <w:family w:val="roman"/>
    <w:pitch w:val="variable"/>
    <w:sig w:usb0="A00002FF" w:usb1="28CFFCFA" w:usb2="00000016" w:usb3="00000000" w:csb0="00100001" w:csb1="00000000"/>
  </w:font>
  <w:font w:name="ＭＳ ゴシック">
    <w:charset w:val="80"/>
    <w:family w:val="swiss"/>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E0FAB2" w14:textId="29346B35" w:rsidR="001B5765" w:rsidRDefault="001B5765">
    <w:pPr>
      <w:pStyle w:val="Bunntekst"/>
    </w:pPr>
    <w:r w:rsidRPr="00826C9F">
      <w:rPr>
        <w:rStyle w:val="Sidetall"/>
      </w:rPr>
      <w:fldChar w:fldCharType="begin"/>
    </w:r>
    <w:r w:rsidRPr="00826C9F">
      <w:rPr>
        <w:rStyle w:val="Sidetall"/>
      </w:rPr>
      <w:instrText xml:space="preserve"> PAGE </w:instrText>
    </w:r>
    <w:r w:rsidRPr="00826C9F">
      <w:rPr>
        <w:rStyle w:val="Sidetall"/>
      </w:rPr>
      <w:fldChar w:fldCharType="separate"/>
    </w:r>
    <w:r w:rsidR="00C409E4">
      <w:rPr>
        <w:rStyle w:val="Sidetall"/>
        <w:noProof/>
      </w:rPr>
      <w:t>1</w:t>
    </w:r>
    <w:r w:rsidRPr="00826C9F">
      <w:rPr>
        <w:rStyle w:val="Sidetall"/>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3A3503" w14:textId="77777777" w:rsidR="00C409E4" w:rsidRDefault="00C409E4" w:rsidP="00826C9F">
      <w:r>
        <w:separator/>
      </w:r>
    </w:p>
  </w:footnote>
  <w:footnote w:type="continuationSeparator" w:id="0">
    <w:p w14:paraId="7ED18FC5" w14:textId="77777777" w:rsidR="00C409E4" w:rsidRDefault="00C409E4" w:rsidP="00826C9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bottomFromText="200" w:vertAnchor="text" w:tblpY="1"/>
      <w:tblW w:w="4937" w:type="pct"/>
      <w:tblLook w:val="04A0" w:firstRow="1" w:lastRow="0" w:firstColumn="1" w:lastColumn="0" w:noHBand="0" w:noVBand="1"/>
    </w:tblPr>
    <w:tblGrid>
      <w:gridCol w:w="3820"/>
      <w:gridCol w:w="1728"/>
      <w:gridCol w:w="3617"/>
    </w:tblGrid>
    <w:tr w:rsidR="001B5765" w:rsidRPr="008E0D90" w14:paraId="27A0860F" w14:textId="77777777" w:rsidTr="001B5765">
      <w:trPr>
        <w:trHeight w:val="151"/>
      </w:trPr>
      <w:tc>
        <w:tcPr>
          <w:tcW w:w="2389" w:type="pct"/>
          <w:tcBorders>
            <w:top w:val="nil"/>
            <w:left w:val="nil"/>
            <w:bottom w:val="single" w:sz="4" w:space="0" w:color="4F81BD" w:themeColor="accent1"/>
            <w:right w:val="nil"/>
          </w:tcBorders>
        </w:tcPr>
        <w:p w14:paraId="5EA6A135" w14:textId="77777777" w:rsidR="001B5765" w:rsidRDefault="001B5765">
          <w:pPr>
            <w:pStyle w:val="Topptekst"/>
            <w:spacing w:line="276" w:lineRule="auto"/>
            <w:rPr>
              <w:rFonts w:ascii="Cambria" w:eastAsiaTheme="majorEastAsia" w:hAnsi="Cambria" w:cstheme="majorBidi"/>
              <w:b/>
              <w:bCs/>
              <w:color w:val="4F81BD" w:themeColor="accent1"/>
            </w:rPr>
          </w:pPr>
        </w:p>
      </w:tc>
      <w:tc>
        <w:tcPr>
          <w:tcW w:w="333" w:type="pct"/>
          <w:vMerge w:val="restart"/>
          <w:noWrap/>
          <w:vAlign w:val="center"/>
          <w:hideMark/>
        </w:tcPr>
        <w:p w14:paraId="39835B0D" w14:textId="77777777" w:rsidR="001B5765" w:rsidRDefault="00C409E4">
          <w:pPr>
            <w:pStyle w:val="Ingenavstand"/>
            <w:rPr>
              <w:rFonts w:ascii="Cambria" w:hAnsi="Cambria"/>
              <w:color w:val="4F81BD" w:themeColor="accent1"/>
              <w:szCs w:val="20"/>
            </w:rPr>
          </w:pPr>
          <w:sdt>
            <w:sdtPr>
              <w:rPr>
                <w:rFonts w:ascii="Cambria" w:hAnsi="Cambria"/>
                <w:color w:val="4F81BD" w:themeColor="accent1"/>
              </w:rPr>
              <w:id w:val="95367809"/>
              <w:placeholder>
                <w:docPart w:val="8A1A0D93D866E0499DA9AF7D7CB98A2E"/>
              </w:placeholder>
              <w:temporary/>
              <w:showingPlcHdr/>
            </w:sdtPr>
            <w:sdtEndPr/>
            <w:sdtContent>
              <w:r w:rsidR="001B5765">
                <w:rPr>
                  <w:rFonts w:ascii="Cambria" w:hAnsi="Cambria"/>
                  <w:color w:val="4F81BD" w:themeColor="accent1"/>
                </w:rPr>
                <w:t>[Skriv inn tekst]</w:t>
              </w:r>
            </w:sdtContent>
          </w:sdt>
        </w:p>
      </w:tc>
      <w:tc>
        <w:tcPr>
          <w:tcW w:w="2278" w:type="pct"/>
          <w:tcBorders>
            <w:top w:val="nil"/>
            <w:left w:val="nil"/>
            <w:bottom w:val="single" w:sz="4" w:space="0" w:color="4F81BD" w:themeColor="accent1"/>
            <w:right w:val="nil"/>
          </w:tcBorders>
        </w:tcPr>
        <w:p w14:paraId="7F48D1AB" w14:textId="77777777" w:rsidR="001B5765" w:rsidRDefault="001B5765">
          <w:pPr>
            <w:pStyle w:val="Topptekst"/>
            <w:spacing w:line="276" w:lineRule="auto"/>
            <w:rPr>
              <w:rFonts w:ascii="Cambria" w:eastAsiaTheme="majorEastAsia" w:hAnsi="Cambria" w:cstheme="majorBidi"/>
              <w:b/>
              <w:bCs/>
              <w:color w:val="4F81BD" w:themeColor="accent1"/>
            </w:rPr>
          </w:pPr>
        </w:p>
      </w:tc>
    </w:tr>
    <w:tr w:rsidR="001B5765" w:rsidRPr="008E0D90" w14:paraId="32CB1A13" w14:textId="77777777" w:rsidTr="001B5765">
      <w:trPr>
        <w:trHeight w:val="150"/>
      </w:trPr>
      <w:tc>
        <w:tcPr>
          <w:tcW w:w="2389" w:type="pct"/>
          <w:tcBorders>
            <w:top w:val="single" w:sz="4" w:space="0" w:color="4F81BD" w:themeColor="accent1"/>
            <w:left w:val="nil"/>
            <w:bottom w:val="nil"/>
            <w:right w:val="nil"/>
          </w:tcBorders>
        </w:tcPr>
        <w:p w14:paraId="5443A785" w14:textId="77777777" w:rsidR="001B5765" w:rsidRDefault="001B5765">
          <w:pPr>
            <w:pStyle w:val="Topptekst"/>
            <w:spacing w:line="276" w:lineRule="auto"/>
            <w:rPr>
              <w:rFonts w:ascii="Cambria" w:eastAsiaTheme="majorEastAsia" w:hAnsi="Cambria" w:cstheme="majorBidi"/>
              <w:b/>
              <w:bCs/>
              <w:color w:val="4F81BD" w:themeColor="accent1"/>
            </w:rPr>
          </w:pPr>
        </w:p>
      </w:tc>
      <w:tc>
        <w:tcPr>
          <w:tcW w:w="0" w:type="auto"/>
          <w:vMerge/>
          <w:vAlign w:val="center"/>
          <w:hideMark/>
        </w:tcPr>
        <w:p w14:paraId="427E6A64" w14:textId="77777777" w:rsidR="001B5765" w:rsidRDefault="001B5765">
          <w:pPr>
            <w:rPr>
              <w:rFonts w:ascii="Cambria" w:hAnsi="Cambria"/>
              <w:color w:val="4F81BD" w:themeColor="accent1"/>
              <w:sz w:val="22"/>
              <w:szCs w:val="22"/>
            </w:rPr>
          </w:pPr>
        </w:p>
      </w:tc>
      <w:tc>
        <w:tcPr>
          <w:tcW w:w="2278" w:type="pct"/>
          <w:tcBorders>
            <w:top w:val="single" w:sz="4" w:space="0" w:color="4F81BD" w:themeColor="accent1"/>
            <w:left w:val="nil"/>
            <w:bottom w:val="nil"/>
            <w:right w:val="nil"/>
          </w:tcBorders>
        </w:tcPr>
        <w:p w14:paraId="06C44657" w14:textId="77777777" w:rsidR="001B5765" w:rsidRDefault="001B5765">
          <w:pPr>
            <w:pStyle w:val="Topptekst"/>
            <w:spacing w:line="276" w:lineRule="auto"/>
            <w:rPr>
              <w:rFonts w:ascii="Cambria" w:eastAsiaTheme="majorEastAsia" w:hAnsi="Cambria" w:cstheme="majorBidi"/>
              <w:b/>
              <w:bCs/>
              <w:color w:val="4F81BD" w:themeColor="accent1"/>
            </w:rPr>
          </w:pPr>
        </w:p>
      </w:tc>
    </w:tr>
  </w:tbl>
  <w:p w14:paraId="1D914376" w14:textId="77777777" w:rsidR="001B5765" w:rsidRDefault="001B5765">
    <w:pPr>
      <w:pStyle w:val="Topptekst"/>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E3CFF4" w14:textId="7AD3F12A" w:rsidR="001B5765" w:rsidRDefault="001B5765">
    <w:r>
      <w:t>Joakim Randa Berthelsen</w:t>
    </w:r>
  </w:p>
  <w:tbl>
    <w:tblPr>
      <w:tblpPr w:leftFromText="187" w:rightFromText="187" w:bottomFromText="200" w:vertAnchor="text" w:tblpY="1"/>
      <w:tblW w:w="4937" w:type="pct"/>
      <w:tblLook w:val="04A0" w:firstRow="1" w:lastRow="0" w:firstColumn="1" w:lastColumn="0" w:noHBand="0" w:noVBand="1"/>
    </w:tblPr>
    <w:tblGrid>
      <w:gridCol w:w="3819"/>
      <w:gridCol w:w="1729"/>
      <w:gridCol w:w="3617"/>
    </w:tblGrid>
    <w:tr w:rsidR="001B5765" w:rsidRPr="008E0D90" w14:paraId="4E33F51B" w14:textId="77777777" w:rsidTr="00812565">
      <w:trPr>
        <w:trHeight w:val="151"/>
      </w:trPr>
      <w:tc>
        <w:tcPr>
          <w:tcW w:w="2084" w:type="pct"/>
          <w:tcBorders>
            <w:top w:val="nil"/>
            <w:left w:val="nil"/>
            <w:bottom w:val="single" w:sz="4" w:space="0" w:color="4F81BD" w:themeColor="accent1"/>
            <w:right w:val="nil"/>
          </w:tcBorders>
        </w:tcPr>
        <w:p w14:paraId="5158B359" w14:textId="77777777" w:rsidR="001B5765" w:rsidRDefault="001B5765">
          <w:pPr>
            <w:pStyle w:val="Topptekst"/>
            <w:spacing w:line="276" w:lineRule="auto"/>
            <w:rPr>
              <w:rFonts w:ascii="Cambria" w:eastAsiaTheme="majorEastAsia" w:hAnsi="Cambria" w:cstheme="majorBidi"/>
              <w:b/>
              <w:bCs/>
              <w:color w:val="4F81BD" w:themeColor="accent1"/>
            </w:rPr>
          </w:pPr>
        </w:p>
      </w:tc>
      <w:tc>
        <w:tcPr>
          <w:tcW w:w="943" w:type="pct"/>
          <w:vMerge w:val="restart"/>
          <w:noWrap/>
          <w:vAlign w:val="center"/>
          <w:hideMark/>
        </w:tcPr>
        <w:p w14:paraId="52E54F5F" w14:textId="77777777" w:rsidR="001B5765" w:rsidRDefault="00C409E4">
          <w:pPr>
            <w:pStyle w:val="Ingenavstand"/>
            <w:rPr>
              <w:rFonts w:ascii="Cambria" w:hAnsi="Cambria"/>
              <w:color w:val="4F81BD" w:themeColor="accent1"/>
              <w:szCs w:val="20"/>
            </w:rPr>
          </w:pPr>
          <w:sdt>
            <w:sdtPr>
              <w:rPr>
                <w:rFonts w:ascii="Cambria" w:hAnsi="Cambria"/>
                <w:color w:val="4F81BD" w:themeColor="accent1"/>
              </w:rPr>
              <w:id w:val="-544525623"/>
              <w:temporary/>
              <w:showingPlcHdr/>
            </w:sdtPr>
            <w:sdtEndPr/>
            <w:sdtContent>
              <w:r w:rsidR="001B5765">
                <w:rPr>
                  <w:rFonts w:ascii="Cambria" w:hAnsi="Cambria"/>
                  <w:color w:val="4F81BD" w:themeColor="accent1"/>
                </w:rPr>
                <w:t>[Skriv inn tekst]</w:t>
              </w:r>
            </w:sdtContent>
          </w:sdt>
        </w:p>
      </w:tc>
      <w:tc>
        <w:tcPr>
          <w:tcW w:w="1973" w:type="pct"/>
          <w:tcBorders>
            <w:top w:val="nil"/>
            <w:left w:val="nil"/>
            <w:bottom w:val="single" w:sz="4" w:space="0" w:color="4F81BD" w:themeColor="accent1"/>
            <w:right w:val="nil"/>
          </w:tcBorders>
        </w:tcPr>
        <w:p w14:paraId="4222DAE2" w14:textId="77777777" w:rsidR="001B5765" w:rsidRDefault="001B5765">
          <w:pPr>
            <w:pStyle w:val="Topptekst"/>
            <w:spacing w:line="276" w:lineRule="auto"/>
            <w:rPr>
              <w:rFonts w:ascii="Cambria" w:eastAsiaTheme="majorEastAsia" w:hAnsi="Cambria" w:cstheme="majorBidi"/>
              <w:b/>
              <w:bCs/>
              <w:color w:val="4F81BD" w:themeColor="accent1"/>
            </w:rPr>
          </w:pPr>
        </w:p>
      </w:tc>
    </w:tr>
    <w:tr w:rsidR="001B5765" w:rsidRPr="008E0D90" w14:paraId="06139D83" w14:textId="77777777" w:rsidTr="00812565">
      <w:trPr>
        <w:trHeight w:val="150"/>
      </w:trPr>
      <w:tc>
        <w:tcPr>
          <w:tcW w:w="2084" w:type="pct"/>
          <w:tcBorders>
            <w:top w:val="single" w:sz="4" w:space="0" w:color="4F81BD" w:themeColor="accent1"/>
            <w:left w:val="nil"/>
            <w:bottom w:val="nil"/>
            <w:right w:val="nil"/>
          </w:tcBorders>
        </w:tcPr>
        <w:p w14:paraId="3A4EE0F4" w14:textId="77777777" w:rsidR="001B5765" w:rsidRDefault="001B5765">
          <w:pPr>
            <w:pStyle w:val="Topptekst"/>
            <w:spacing w:line="276" w:lineRule="auto"/>
            <w:rPr>
              <w:rFonts w:ascii="Cambria" w:eastAsiaTheme="majorEastAsia" w:hAnsi="Cambria" w:cstheme="majorBidi"/>
              <w:b/>
              <w:bCs/>
              <w:color w:val="4F81BD" w:themeColor="accent1"/>
            </w:rPr>
          </w:pPr>
        </w:p>
      </w:tc>
      <w:tc>
        <w:tcPr>
          <w:tcW w:w="0" w:type="auto"/>
          <w:vMerge/>
          <w:vAlign w:val="center"/>
          <w:hideMark/>
        </w:tcPr>
        <w:p w14:paraId="7F18C9CD" w14:textId="77777777" w:rsidR="001B5765" w:rsidRDefault="001B5765">
          <w:pPr>
            <w:rPr>
              <w:rFonts w:ascii="Cambria" w:hAnsi="Cambria"/>
              <w:color w:val="4F81BD" w:themeColor="accent1"/>
              <w:sz w:val="22"/>
              <w:szCs w:val="22"/>
            </w:rPr>
          </w:pPr>
        </w:p>
      </w:tc>
      <w:tc>
        <w:tcPr>
          <w:tcW w:w="1973" w:type="pct"/>
          <w:tcBorders>
            <w:top w:val="single" w:sz="4" w:space="0" w:color="4F81BD" w:themeColor="accent1"/>
            <w:left w:val="nil"/>
            <w:bottom w:val="nil"/>
            <w:right w:val="nil"/>
          </w:tcBorders>
        </w:tcPr>
        <w:p w14:paraId="7502C384" w14:textId="77777777" w:rsidR="001B5765" w:rsidRDefault="001B5765">
          <w:pPr>
            <w:pStyle w:val="Topptekst"/>
            <w:spacing w:line="276" w:lineRule="auto"/>
            <w:rPr>
              <w:rFonts w:ascii="Cambria" w:eastAsiaTheme="majorEastAsia" w:hAnsi="Cambria" w:cstheme="majorBidi"/>
              <w:b/>
              <w:bCs/>
              <w:color w:val="4F81BD" w:themeColor="accent1"/>
            </w:rPr>
          </w:pPr>
        </w:p>
      </w:tc>
    </w:tr>
  </w:tbl>
  <w:p w14:paraId="6B6AA8AC" w14:textId="35402A6F" w:rsidR="001B5765" w:rsidRDefault="001B5765">
    <w:pPr>
      <w:pStyle w:val="Topptekst"/>
    </w:pPr>
    <w:r>
      <w:t>Prosjektbeskrivelse v3</w:t>
    </w:r>
  </w:p>
</w:hdr>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mma Helene Heggdal">
    <w15:presenceInfo w15:providerId="Windows Live" w15:userId="3f63324395c6d5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97A"/>
    <w:rsid w:val="00017EA9"/>
    <w:rsid w:val="00025FD0"/>
    <w:rsid w:val="00054A29"/>
    <w:rsid w:val="00062911"/>
    <w:rsid w:val="00080D0A"/>
    <w:rsid w:val="001810AE"/>
    <w:rsid w:val="001B5765"/>
    <w:rsid w:val="001C1E51"/>
    <w:rsid w:val="001F4B06"/>
    <w:rsid w:val="001F6B4A"/>
    <w:rsid w:val="00206CC1"/>
    <w:rsid w:val="002165D9"/>
    <w:rsid w:val="002317FC"/>
    <w:rsid w:val="00232FBA"/>
    <w:rsid w:val="00261BDA"/>
    <w:rsid w:val="00274C8C"/>
    <w:rsid w:val="00297AC2"/>
    <w:rsid w:val="002A0C3E"/>
    <w:rsid w:val="00304AFB"/>
    <w:rsid w:val="00332802"/>
    <w:rsid w:val="003C4E08"/>
    <w:rsid w:val="003D47A3"/>
    <w:rsid w:val="00465DBE"/>
    <w:rsid w:val="00492672"/>
    <w:rsid w:val="004A190C"/>
    <w:rsid w:val="004D29A7"/>
    <w:rsid w:val="004E22A0"/>
    <w:rsid w:val="00502033"/>
    <w:rsid w:val="00532295"/>
    <w:rsid w:val="00582965"/>
    <w:rsid w:val="005F372B"/>
    <w:rsid w:val="00670CC3"/>
    <w:rsid w:val="00696BDA"/>
    <w:rsid w:val="006E0BF2"/>
    <w:rsid w:val="006E7AF7"/>
    <w:rsid w:val="0073697A"/>
    <w:rsid w:val="00747FA1"/>
    <w:rsid w:val="00780C10"/>
    <w:rsid w:val="007933F2"/>
    <w:rsid w:val="00812565"/>
    <w:rsid w:val="00826C9F"/>
    <w:rsid w:val="00853DD0"/>
    <w:rsid w:val="009A2FD3"/>
    <w:rsid w:val="00A031D5"/>
    <w:rsid w:val="00A16C99"/>
    <w:rsid w:val="00A53016"/>
    <w:rsid w:val="00AB4DD7"/>
    <w:rsid w:val="00AD3A34"/>
    <w:rsid w:val="00B13E90"/>
    <w:rsid w:val="00B92460"/>
    <w:rsid w:val="00BD6118"/>
    <w:rsid w:val="00BE7C9A"/>
    <w:rsid w:val="00C409E4"/>
    <w:rsid w:val="00CE0B5F"/>
    <w:rsid w:val="00D477AD"/>
    <w:rsid w:val="00F52B01"/>
    <w:rsid w:val="00FB18D9"/>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7A358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3697A"/>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Merknadsreferanse">
    <w:name w:val="annotation reference"/>
    <w:basedOn w:val="Standardskriftforavsnitt"/>
    <w:uiPriority w:val="99"/>
    <w:semiHidden/>
    <w:unhideWhenUsed/>
    <w:rsid w:val="0073697A"/>
    <w:rPr>
      <w:sz w:val="18"/>
      <w:szCs w:val="18"/>
    </w:rPr>
  </w:style>
  <w:style w:type="paragraph" w:styleId="Merknadstekst">
    <w:name w:val="annotation text"/>
    <w:basedOn w:val="Normal"/>
    <w:link w:val="MerknadstekstTegn"/>
    <w:uiPriority w:val="99"/>
    <w:semiHidden/>
    <w:unhideWhenUsed/>
    <w:rsid w:val="0073697A"/>
  </w:style>
  <w:style w:type="character" w:customStyle="1" w:styleId="MerknadstekstTegn">
    <w:name w:val="Merknadstekst Tegn"/>
    <w:basedOn w:val="Standardskriftforavsnitt"/>
    <w:link w:val="Merknadstekst"/>
    <w:uiPriority w:val="99"/>
    <w:semiHidden/>
    <w:rsid w:val="0073697A"/>
  </w:style>
  <w:style w:type="paragraph" w:styleId="Bobletekst">
    <w:name w:val="Balloon Text"/>
    <w:basedOn w:val="Normal"/>
    <w:link w:val="BobletekstTegn"/>
    <w:uiPriority w:val="99"/>
    <w:semiHidden/>
    <w:unhideWhenUsed/>
    <w:rsid w:val="0073697A"/>
    <w:rPr>
      <w:rFonts w:ascii="Lucida Grande" w:hAnsi="Lucida Grande"/>
      <w:sz w:val="18"/>
      <w:szCs w:val="18"/>
    </w:rPr>
  </w:style>
  <w:style w:type="character" w:customStyle="1" w:styleId="BobletekstTegn">
    <w:name w:val="Bobletekst Tegn"/>
    <w:basedOn w:val="Standardskriftforavsnitt"/>
    <w:link w:val="Bobletekst"/>
    <w:uiPriority w:val="99"/>
    <w:semiHidden/>
    <w:rsid w:val="0073697A"/>
    <w:rPr>
      <w:rFonts w:ascii="Lucida Grande" w:hAnsi="Lucida Grande"/>
      <w:sz w:val="18"/>
      <w:szCs w:val="18"/>
    </w:rPr>
  </w:style>
  <w:style w:type="paragraph" w:styleId="Topptekst">
    <w:name w:val="header"/>
    <w:basedOn w:val="Normal"/>
    <w:link w:val="TopptekstTegn"/>
    <w:uiPriority w:val="99"/>
    <w:unhideWhenUsed/>
    <w:rsid w:val="00826C9F"/>
    <w:pPr>
      <w:tabs>
        <w:tab w:val="center" w:pos="4536"/>
        <w:tab w:val="right" w:pos="9072"/>
      </w:tabs>
    </w:pPr>
  </w:style>
  <w:style w:type="character" w:customStyle="1" w:styleId="TopptekstTegn">
    <w:name w:val="Topptekst Tegn"/>
    <w:basedOn w:val="Standardskriftforavsnitt"/>
    <w:link w:val="Topptekst"/>
    <w:uiPriority w:val="99"/>
    <w:rsid w:val="00826C9F"/>
  </w:style>
  <w:style w:type="paragraph" w:styleId="Bunntekst">
    <w:name w:val="footer"/>
    <w:basedOn w:val="Normal"/>
    <w:link w:val="BunntekstTegn"/>
    <w:uiPriority w:val="99"/>
    <w:unhideWhenUsed/>
    <w:rsid w:val="00826C9F"/>
    <w:pPr>
      <w:tabs>
        <w:tab w:val="center" w:pos="4536"/>
        <w:tab w:val="right" w:pos="9072"/>
      </w:tabs>
    </w:pPr>
  </w:style>
  <w:style w:type="character" w:customStyle="1" w:styleId="BunntekstTegn">
    <w:name w:val="Bunntekst Tegn"/>
    <w:basedOn w:val="Standardskriftforavsnitt"/>
    <w:link w:val="Bunntekst"/>
    <w:uiPriority w:val="99"/>
    <w:rsid w:val="00826C9F"/>
  </w:style>
  <w:style w:type="character" w:styleId="Sidetall">
    <w:name w:val="page number"/>
    <w:basedOn w:val="Standardskriftforavsnitt"/>
    <w:uiPriority w:val="99"/>
    <w:semiHidden/>
    <w:unhideWhenUsed/>
    <w:rsid w:val="00826C9F"/>
  </w:style>
  <w:style w:type="paragraph" w:styleId="Ingenavstand">
    <w:name w:val="No Spacing"/>
    <w:link w:val="IngenavstandTegn"/>
    <w:qFormat/>
    <w:rsid w:val="00826C9F"/>
    <w:rPr>
      <w:rFonts w:ascii="PMingLiU" w:hAnsi="PMingLiU"/>
      <w:sz w:val="22"/>
      <w:szCs w:val="22"/>
    </w:rPr>
  </w:style>
  <w:style w:type="character" w:customStyle="1" w:styleId="IngenavstandTegn">
    <w:name w:val="Ingen avstand Tegn"/>
    <w:basedOn w:val="Standardskriftforavsnitt"/>
    <w:link w:val="Ingenavstand"/>
    <w:rsid w:val="00826C9F"/>
    <w:rPr>
      <w:rFonts w:ascii="PMingLiU" w:hAnsi="PMingLiU"/>
      <w:sz w:val="22"/>
      <w:szCs w:val="22"/>
    </w:rPr>
  </w:style>
  <w:style w:type="paragraph" w:styleId="Kommentaremne">
    <w:name w:val="annotation subject"/>
    <w:basedOn w:val="Merknadstekst"/>
    <w:next w:val="Merknadstekst"/>
    <w:link w:val="KommentaremneTegn"/>
    <w:uiPriority w:val="99"/>
    <w:semiHidden/>
    <w:unhideWhenUsed/>
    <w:rsid w:val="00532295"/>
    <w:rPr>
      <w:b/>
      <w:bCs/>
      <w:sz w:val="20"/>
      <w:szCs w:val="20"/>
    </w:rPr>
  </w:style>
  <w:style w:type="character" w:customStyle="1" w:styleId="KommentaremneTegn">
    <w:name w:val="Kommentaremne Tegn"/>
    <w:basedOn w:val="MerknadstekstTegn"/>
    <w:link w:val="Kommentaremne"/>
    <w:uiPriority w:val="99"/>
    <w:semiHidden/>
    <w:rsid w:val="005322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11672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microsoft.com/office/2011/relationships/people" Target="peop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microsoft.com/office/2011/relationships/commentsExtended" Target="commentsExtended.xml"/><Relationship Id="rId9" Type="http://schemas.openxmlformats.org/officeDocument/2006/relationships/header" Target="header1.xml"/><Relationship Id="rId10"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A1A0D93D866E0499DA9AF7D7CB98A2E"/>
        <w:category>
          <w:name w:val="Generelt"/>
          <w:gallery w:val="placeholder"/>
        </w:category>
        <w:types>
          <w:type w:val="bbPlcHdr"/>
        </w:types>
        <w:behaviors>
          <w:behavior w:val="content"/>
        </w:behaviors>
        <w:guid w:val="{A6129088-F1F6-1E44-BD58-B35532E4B301}"/>
      </w:docPartPr>
      <w:docPartBody>
        <w:p w:rsidR="000F136A" w:rsidRDefault="007F1A52" w:rsidP="007F1A52">
          <w:pPr>
            <w:pStyle w:val="8A1A0D93D866E0499DA9AF7D7CB98A2E"/>
          </w:pPr>
          <w:r>
            <w:t>[Skriv inn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PMingLiU">
    <w:panose1 w:val="02020500000000000000"/>
    <w:charset w:val="88"/>
    <w:family w:val="roman"/>
    <w:pitch w:val="variable"/>
    <w:sig w:usb0="A00002FF" w:usb1="28CFFCFA" w:usb2="00000016" w:usb3="00000000" w:csb0="00100001" w:csb1="00000000"/>
  </w:font>
  <w:font w:name="ＭＳ ゴシック">
    <w:charset w:val="80"/>
    <w:family w:val="swiss"/>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A52"/>
    <w:rsid w:val="000F136A"/>
    <w:rsid w:val="001B0E98"/>
    <w:rsid w:val="007F1A52"/>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nb-NO"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8A1A0D93D866E0499DA9AF7D7CB98A2E">
    <w:name w:val="8A1A0D93D866E0499DA9AF7D7CB98A2E"/>
    <w:rsid w:val="007F1A52"/>
  </w:style>
  <w:style w:type="paragraph" w:customStyle="1" w:styleId="F1E9032659B6F04EBC84BB36DA37D2A1">
    <w:name w:val="F1E9032659B6F04EBC84BB36DA37D2A1"/>
    <w:rsid w:val="007F1A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4430F-A0E5-4E42-888E-02C3C2A62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2765</Words>
  <Characters>14657</Characters>
  <Application>Microsoft Macintosh Word</Application>
  <DocSecurity>0</DocSecurity>
  <Lines>122</Lines>
  <Paragraphs>34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17388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Ingeborg Storebø</dc:creator>
  <cp:keywords/>
  <dc:description/>
  <cp:lastModifiedBy>Emma Helene Heggdal</cp:lastModifiedBy>
  <cp:revision>7</cp:revision>
  <dcterms:created xsi:type="dcterms:W3CDTF">2017-10-19T17:09:00Z</dcterms:created>
  <dcterms:modified xsi:type="dcterms:W3CDTF">2017-10-19T17:46:00Z</dcterms:modified>
</cp:coreProperties>
</file>