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C0AC3" w14:textId="2EE3922D" w:rsidR="00241EE4" w:rsidRPr="0087089E" w:rsidRDefault="0008415C" w:rsidP="006779B4">
      <w:pPr>
        <w:spacing w:line="360" w:lineRule="auto"/>
        <w:rPr>
          <w:b/>
        </w:rPr>
      </w:pPr>
      <w:commentRangeStart w:id="0"/>
      <w:commentRangeStart w:id="1"/>
      <w:r w:rsidRPr="0087089E">
        <w:rPr>
          <w:b/>
        </w:rPr>
        <w:t>A</w:t>
      </w:r>
      <w:commentRangeEnd w:id="0"/>
      <w:r w:rsidR="00123495">
        <w:rPr>
          <w:rStyle w:val="Merknadsreferanse"/>
        </w:rPr>
        <w:commentReference w:id="0"/>
      </w:r>
      <w:r w:rsidRPr="0087089E">
        <w:rPr>
          <w:b/>
        </w:rPr>
        <w:t>nalyse</w:t>
      </w:r>
      <w:commentRangeEnd w:id="1"/>
      <w:r w:rsidR="00AC7627">
        <w:rPr>
          <w:rStyle w:val="Merknadsreferanse"/>
        </w:rPr>
        <w:commentReference w:id="1"/>
      </w:r>
      <w:r w:rsidRPr="0087089E">
        <w:rPr>
          <w:b/>
        </w:rPr>
        <w:t xml:space="preserve"> av Thornton Wilder – Our town</w:t>
      </w:r>
      <w:r w:rsidR="00D23B89" w:rsidRPr="0087089E">
        <w:rPr>
          <w:b/>
        </w:rPr>
        <w:t xml:space="preserve"> (1938)</w:t>
      </w:r>
      <w:r w:rsidR="007A124C" w:rsidRPr="0087089E">
        <w:rPr>
          <w:b/>
        </w:rPr>
        <w:t>.</w:t>
      </w:r>
      <w:r w:rsidR="00E16C47">
        <w:rPr>
          <w:b/>
        </w:rPr>
        <w:t xml:space="preserve"> Av Ida, Mads og Helene. </w:t>
      </w:r>
      <w:r w:rsidR="0087089E">
        <w:rPr>
          <w:b/>
        </w:rPr>
        <w:t xml:space="preserve"> </w:t>
      </w:r>
    </w:p>
    <w:p w14:paraId="4855B368" w14:textId="77777777" w:rsidR="00115D45" w:rsidRDefault="00115D45" w:rsidP="006779B4">
      <w:pPr>
        <w:spacing w:line="360" w:lineRule="auto"/>
      </w:pPr>
    </w:p>
    <w:p w14:paraId="28B2B37A" w14:textId="65CE1B15" w:rsidR="002B03BF" w:rsidRDefault="002B03BF" w:rsidP="006779B4">
      <w:pPr>
        <w:spacing w:line="360" w:lineRule="auto"/>
      </w:pPr>
      <w:r>
        <w:t>”Our Town” er et s</w:t>
      </w:r>
      <w:r w:rsidR="00BC4CB7">
        <w:t>ku</w:t>
      </w:r>
      <w:r w:rsidR="00F13E18">
        <w:t>espill i 3 akter</w:t>
      </w:r>
      <w:r w:rsidR="00BC4CB7">
        <w:t>.</w:t>
      </w:r>
      <w:r>
        <w:t xml:space="preserve"> Stykke ble utgitt i 1938, men handlingen er lagt til tidsrommet 1901-1913. I tredje akt er det også en form for analepse, en retrospeksjon til 1899. </w:t>
      </w:r>
      <w:r w:rsidR="00B35D4F">
        <w:t xml:space="preserve">Ved to anledninger har vi også prolepser hvor Stage Manager kommenterer ting som kommer til å hende i framtiden. </w:t>
      </w:r>
      <w:r>
        <w:t xml:space="preserve">Handlingen er lagt tilden (så vidt vi vet) fiktive byen Grover´s Corners, i den amerikanske delstaten New Hampshire. Vi vil i det følgende se på stykkets </w:t>
      </w:r>
      <w:commentRangeStart w:id="3"/>
      <w:r>
        <w:t>struktur</w:t>
      </w:r>
      <w:commentRangeEnd w:id="3"/>
      <w:r w:rsidR="009442B8">
        <w:rPr>
          <w:rStyle w:val="Merknadsreferanse"/>
        </w:rPr>
        <w:commentReference w:id="3"/>
      </w:r>
      <w:r>
        <w:t xml:space="preserve">, samt kommentere de </w:t>
      </w:r>
      <w:commentRangeStart w:id="4"/>
      <w:r>
        <w:t>modernistiske</w:t>
      </w:r>
      <w:commentRangeEnd w:id="4"/>
      <w:r w:rsidR="003735D9">
        <w:rPr>
          <w:rStyle w:val="Merknadsreferanse"/>
        </w:rPr>
        <w:commentReference w:id="4"/>
      </w:r>
      <w:r>
        <w:t xml:space="preserve"> grepene som er </w:t>
      </w:r>
      <w:commentRangeStart w:id="5"/>
      <w:r>
        <w:t>gjort</w:t>
      </w:r>
      <w:commentRangeEnd w:id="5"/>
      <w:r w:rsidR="00823D66">
        <w:rPr>
          <w:rStyle w:val="Merknadsreferanse"/>
        </w:rPr>
        <w:commentReference w:id="5"/>
      </w:r>
      <w:commentRangeStart w:id="6"/>
      <w:r>
        <w:t>.</w:t>
      </w:r>
      <w:commentRangeEnd w:id="6"/>
      <w:r w:rsidR="009442B8">
        <w:rPr>
          <w:rStyle w:val="Merknadsreferanse"/>
        </w:rPr>
        <w:commentReference w:id="6"/>
      </w:r>
      <w:r>
        <w:t xml:space="preserve"> </w:t>
      </w:r>
    </w:p>
    <w:p w14:paraId="238E88B4" w14:textId="77777777" w:rsidR="002B03BF" w:rsidRDefault="002B03BF" w:rsidP="006779B4">
      <w:pPr>
        <w:spacing w:line="360" w:lineRule="auto"/>
      </w:pPr>
    </w:p>
    <w:p w14:paraId="4467AFDB" w14:textId="39E8E51A" w:rsidR="002B03BF" w:rsidRDefault="002B03BF" w:rsidP="006779B4">
      <w:pPr>
        <w:spacing w:line="360" w:lineRule="auto"/>
      </w:pPr>
      <w:r>
        <w:t xml:space="preserve">Stykket er som sagt delt inn i tre akter. Disse aktene har i seg selv ikke tittel, men tidlig i andre akt de blir tildelt navn av Stage Manager, som viser </w:t>
      </w:r>
      <w:commentRangeStart w:id="7"/>
      <w:r>
        <w:t>at aktene er delt inn tematisk</w:t>
      </w:r>
      <w:commentRangeEnd w:id="7"/>
      <w:r w:rsidR="007A4220">
        <w:rPr>
          <w:rStyle w:val="Merknadsreferanse"/>
        </w:rPr>
        <w:commentReference w:id="7"/>
      </w:r>
      <w:r>
        <w:t xml:space="preserve">. ”The First Act was called the Daily Life. This act is called Love and Marriage. There´s another act coming after this: I reckon </w:t>
      </w:r>
      <w:commentRangeStart w:id="8"/>
      <w:r>
        <w:t>you can guess what that´s about</w:t>
      </w:r>
      <w:commentRangeEnd w:id="8"/>
      <w:r w:rsidR="00697D77">
        <w:rPr>
          <w:rStyle w:val="Merknadsreferanse"/>
        </w:rPr>
        <w:commentReference w:id="8"/>
      </w:r>
      <w:r>
        <w:t>”. Vi starter med første akt.</w:t>
      </w:r>
    </w:p>
    <w:p w14:paraId="7AD8621A" w14:textId="64E2DF1D" w:rsidR="002B03BF" w:rsidRDefault="002B03BF" w:rsidP="006779B4">
      <w:pPr>
        <w:spacing w:line="360" w:lineRule="auto"/>
      </w:pPr>
      <w:r>
        <w:t xml:space="preserve">”The first act shows a day in our town. The day is 7 May 1901. The time is just before dawn” (s. 21). </w:t>
      </w:r>
      <w:r w:rsidR="00975D40">
        <w:t xml:space="preserve">Akten starter allerede før publikum har kommet inn i salen, med en tok scene: ”No curtain, no scenery” (s. 21). Stage Manager kommer inn på scenen, hvor han plasserer noen kulisser som skal forestille husene til familiene Webb og Gibbs, før han henvender seg til publikum og sier: ”This play is Called Our Town. It was written by Thornton Wilder” (s.21). </w:t>
      </w:r>
      <w:commentRangeStart w:id="9"/>
      <w:r w:rsidR="00975D40">
        <w:t>D</w:t>
      </w:r>
      <w:commentRangeEnd w:id="9"/>
      <w:r w:rsidR="00123495">
        <w:rPr>
          <w:rStyle w:val="Merknadsreferanse"/>
        </w:rPr>
        <w:commentReference w:id="9"/>
      </w:r>
      <w:r w:rsidR="00975D40">
        <w:t xml:space="preserve">eretter snakker han til publikum om denne byen, hvordan den ser ut og om dens historie. ”Well, i´d better show you how our town lies” (s.21). Stage Manager peker i forskjellige retninger for å vise hvor på scenen de ulike delene av byen befinner seg. Dette må publikum selv se for seg, da scenen er minimalt innredet. </w:t>
      </w:r>
      <w:r w:rsidR="00B35D4F">
        <w:t xml:space="preserve">To sprinkelverk med planter kommer inn på scenen, hvorpå Stage Manager kommenterer ”There´s some scenery for those who think thay have to hace scenery” (s.21). Hele første akt er i stor grad preget av det hverdagslige livet, uten de store hendelsene. På et tidspunkt avbryter Stage Manager handlingen og henvender seg igjen til publikum. ”Now we´re going to skip a few hours. But first we need a little more information about the town, kind of a scientific account, you might say” (s.32). Professor Willard ”of our State University” kommer på scenen og gir enda mer utfyllende informasjon om byens historie. Deretter kommer Mr Webb inn på scenen for å fortelle om byen fra et politisk og sosialt perspektiv. Her får vi også en iscenesatt utspørring fra salen, før vi vender tilbake til handlingen. </w:t>
      </w:r>
    </w:p>
    <w:p w14:paraId="0EAF5EB8" w14:textId="77777777" w:rsidR="007B47E3" w:rsidRDefault="007B47E3" w:rsidP="006779B4">
      <w:pPr>
        <w:spacing w:line="360" w:lineRule="auto"/>
      </w:pPr>
    </w:p>
    <w:p w14:paraId="78D17BD4" w14:textId="4E4987AC" w:rsidR="007B47E3" w:rsidRDefault="007B47E3" w:rsidP="006779B4">
      <w:pPr>
        <w:spacing w:line="360" w:lineRule="auto"/>
      </w:pPr>
      <w:r>
        <w:lastRenderedPageBreak/>
        <w:t xml:space="preserve">”So i´m going to have a copy of this play put in the cornerstone and the people a thousand years from now´ll know a few simple facts about us (...) this is the way we were in the provinces north of New York at the beginning of the twentieth century – This is the way we were: in our growing up and in our marrying and in our living and in our </w:t>
      </w:r>
      <w:commentRangeStart w:id="10"/>
      <w:r>
        <w:t>ding</w:t>
      </w:r>
      <w:commentRangeEnd w:id="10"/>
      <w:r w:rsidR="00EF1EAB">
        <w:rPr>
          <w:rStyle w:val="Merknadsreferanse"/>
        </w:rPr>
        <w:commentReference w:id="10"/>
      </w:r>
      <w:r>
        <w:t xml:space="preserve">” (s. 41). </w:t>
      </w:r>
    </w:p>
    <w:p w14:paraId="32FC4A98" w14:textId="77777777" w:rsidR="002C6255" w:rsidRDefault="002C6255" w:rsidP="006779B4">
      <w:pPr>
        <w:spacing w:line="360" w:lineRule="auto"/>
      </w:pPr>
    </w:p>
    <w:p w14:paraId="0054F5E1" w14:textId="77777777" w:rsidR="00E16C47" w:rsidRDefault="00344240" w:rsidP="006779B4">
      <w:pPr>
        <w:spacing w:line="360" w:lineRule="auto"/>
      </w:pPr>
      <w:r>
        <w:t xml:space="preserve">Andre akt starter på bryllupsdagen til Emily og George, 7. juli 1904. Men før vi får se bryllupet vil Stage Manager at publikum skal få være vitne til den samtalen som fant sted mellom dem to, samtalen som gjorde dem oppmerksomme på at de var ment for hverandre. Emily og George gjenskaper denne samtalen på scenen. </w:t>
      </w:r>
      <w:r w:rsidR="00E16C47">
        <w:t>Resten av akten er viet til bryllupet.</w:t>
      </w:r>
    </w:p>
    <w:p w14:paraId="2546CD35" w14:textId="77777777" w:rsidR="00E16C47" w:rsidRDefault="00E16C47" w:rsidP="006779B4">
      <w:pPr>
        <w:spacing w:line="360" w:lineRule="auto"/>
      </w:pPr>
    </w:p>
    <w:p w14:paraId="48A8D759" w14:textId="2B5AF741" w:rsidR="007A124C" w:rsidRDefault="00E16C47" w:rsidP="006779B4">
      <w:pPr>
        <w:spacing w:line="360" w:lineRule="auto"/>
      </w:pPr>
      <w:r>
        <w:t xml:space="preserve">Tredje akt tar plass på et gravsted, hvor de døde sitter på stoler som symboliserer deres gravsteiner. Det har gått ni år siden andre akt, vi er i 1913. Emily døde under fødselen av sitt andre barn. Hun tar plass blant de døde på scenen. Mens begravelsen pågår, snakker de døde sammen. ”But, Mother Gibbs, one can go back; one can go back there again... into living. I feel it. I know it” (s. 82). </w:t>
      </w:r>
      <w:r w:rsidR="00F926A2">
        <w:t xml:space="preserve">Selv om de andre døde forsøker å forhindre Emily å dra tilbake, lykkes de ikke. Emily ønsker å dra tilbake til sin 12. Bursdag, 11. februar 1899. Det tar ikke lang tid før Emily ikke holder ut mer. ”It goes so fast. We don´t have time to look at one another”(...) I didn´t realize. So all that was going on and we never noticed. Take me back – up the hill – to my grave” (s. 88-89). Tilbake blant de døde har Emily innsett det alle de andre har innsett. ”That´s what it was to be alive. To move around in a cloud of ignorance (...) To spend and waste time as though you had a million years. (...) </w:t>
      </w:r>
      <w:commentRangeStart w:id="11"/>
      <w:commentRangeStart w:id="12"/>
      <w:r w:rsidR="00F926A2">
        <w:t xml:space="preserve">Ignorance and blindness </w:t>
      </w:r>
      <w:commentRangeEnd w:id="11"/>
      <w:r w:rsidR="00DB0977">
        <w:rPr>
          <w:rStyle w:val="Merknadsreferanse"/>
        </w:rPr>
        <w:commentReference w:id="11"/>
      </w:r>
      <w:r w:rsidR="00F926A2">
        <w:t xml:space="preserve">(s. 89). </w:t>
      </w:r>
      <w:r w:rsidR="00C633D6">
        <w:t xml:space="preserve">Denne kommentaren blir stående som en moral over hvordan menneskene ikke lever i nået og ikke verdsetter den tiden de har på jorden. </w:t>
      </w:r>
      <w:r w:rsidR="006B49D1">
        <w:t xml:space="preserve">”... unfortunately our time is limited” (s. 33). </w:t>
      </w:r>
      <w:commentRangeEnd w:id="12"/>
      <w:r w:rsidR="00823D66">
        <w:rPr>
          <w:rStyle w:val="Merknadsreferanse"/>
        </w:rPr>
        <w:commentReference w:id="12"/>
      </w:r>
    </w:p>
    <w:p w14:paraId="105A5F8E" w14:textId="77777777" w:rsidR="001D2187" w:rsidRDefault="001D2187" w:rsidP="006779B4">
      <w:pPr>
        <w:spacing w:line="360" w:lineRule="auto"/>
      </w:pPr>
    </w:p>
    <w:p w14:paraId="074AB468" w14:textId="59C76B32" w:rsidR="000C7C36" w:rsidRDefault="000C7C36" w:rsidP="006779B4">
      <w:pPr>
        <w:spacing w:line="360" w:lineRule="auto"/>
      </w:pPr>
      <w:commentRangeStart w:id="13"/>
      <w:r>
        <w:t>V</w:t>
      </w:r>
      <w:commentRangeEnd w:id="13"/>
      <w:r w:rsidR="00F56178">
        <w:rPr>
          <w:rStyle w:val="Merknadsreferanse"/>
        </w:rPr>
        <w:commentReference w:id="13"/>
      </w:r>
      <w:r>
        <w:t xml:space="preserve">i vil i det følgende kommentere </w:t>
      </w:r>
      <w:r w:rsidR="00CD7CE5">
        <w:t xml:space="preserve">de forskjellige tekstlagene, og vi bruker begrepene hovedtekst (dialog) og sidetekst (sceneanvisninger). I Our Town er det til tider en utbredt bruk av sidetekst. Mye av sideteksten er konvensjonell, altså den forteller hvem som kommer inn og går ut, hvor de forskjellige personene befinner seg på scenen osv. Men noe av sideteksten har også en forklarende rolle. Som for eksempel: ”Two ladders have been pushe don the stage; they serve as indication of the first storey in the Gibbs and Webb house. George and Emily mount them, and apply themselves to their schoolwork” (s. 41). Men for det meste så er det hovedteksten som dominerer i stykket. </w:t>
      </w:r>
    </w:p>
    <w:p w14:paraId="439882B7" w14:textId="6E40598A" w:rsidR="00F007FD" w:rsidRDefault="00CD7CE5" w:rsidP="00F007FD">
      <w:pPr>
        <w:spacing w:line="360" w:lineRule="auto"/>
      </w:pPr>
      <w:r>
        <w:lastRenderedPageBreak/>
        <w:t xml:space="preserve">Den karakteren som snakker mest av alle er Stage Manager. Denne karakteren spiller en dobbelt, om ikke trippel rolle, i stykket. Han fungerer som en forteller, som bryter ut av handlingen om henvender seg til publikum med informasjon til dem. I tillegg går han inn i flere ulike roller og tar den i handlingen. Eksempler </w:t>
      </w:r>
      <w:r w:rsidR="00840E59">
        <w:t xml:space="preserve">på dette finner vi i andre akt. ”[The STAGE MANAGER, wearing spectacles and assuming the role of Mr Morgen (...)]” (s. 63). Også i bryllupet går han inn i en annen rolle. ”In this wedding I play the minister. That gives me the right to say a few more things about it” (s. 68). Både de tilfellene hvor han henvender seg direkte til publikum, og når han går inn i andre roller, er grep som fører til illusjonsbrudd. Vi vil kommentere dette nærmere når du tar for oss </w:t>
      </w:r>
      <w:commentRangeStart w:id="14"/>
      <w:r w:rsidR="00840E59">
        <w:t>det modernistiske</w:t>
      </w:r>
      <w:commentRangeEnd w:id="14"/>
      <w:r w:rsidR="006A5A4D">
        <w:rPr>
          <w:rStyle w:val="Merknadsreferanse"/>
        </w:rPr>
        <w:commentReference w:id="14"/>
      </w:r>
      <w:r w:rsidR="00840E59">
        <w:t xml:space="preserve">. </w:t>
      </w:r>
      <w:r w:rsidR="00F007FD">
        <w:t xml:space="preserve">Stage manageren fungerer strukturerende på en uvanlig måte. Han styrer handlingen i stykket, og avgjør hva publikum får se og vite. Han både iscenesetter og regisserer. Som tidligere nevnt finnes det tilfeller av prolepser i stykket. Stage Manager kan fortelle publikum at Joe Crowell kommer til å dø under krigen, og at det om noen år vil komme biler til byen. Haberman kommenterer dette på følgende måte: ”What is peculiar about this future is that it is already past for the audience, providing a kind of double take. The stage manager knows what the audience knows, but what the characters do not” (1989, s. 23). Her har vi å gjøre en form for </w:t>
      </w:r>
      <w:commentRangeStart w:id="15"/>
      <w:commentRangeStart w:id="16"/>
      <w:r w:rsidR="00F007FD">
        <w:t>dramatisk ironi i dobbel betydning</w:t>
      </w:r>
      <w:commentRangeEnd w:id="15"/>
      <w:r w:rsidR="00823D66">
        <w:rPr>
          <w:rStyle w:val="Merknadsreferanse"/>
        </w:rPr>
        <w:commentReference w:id="15"/>
      </w:r>
      <w:commentRangeEnd w:id="16"/>
      <w:r w:rsidR="006A5A4D">
        <w:rPr>
          <w:rStyle w:val="Merknadsreferanse"/>
        </w:rPr>
        <w:commentReference w:id="16"/>
      </w:r>
      <w:r w:rsidR="00F007FD">
        <w:t xml:space="preserve">. </w:t>
      </w:r>
    </w:p>
    <w:p w14:paraId="74B215EE" w14:textId="77777777" w:rsidR="001D2187" w:rsidRDefault="001D2187" w:rsidP="006779B4">
      <w:pPr>
        <w:spacing w:line="360" w:lineRule="auto"/>
      </w:pPr>
    </w:p>
    <w:p w14:paraId="65624E2C" w14:textId="0D018950" w:rsidR="00F007FD" w:rsidRDefault="00840E59" w:rsidP="006779B4">
      <w:pPr>
        <w:spacing w:line="360" w:lineRule="auto"/>
      </w:pPr>
      <w:r>
        <w:t xml:space="preserve">Stykkets tittel er altså ”Our Town” og byen spiller en viktig rolle, og er verdt å nevne. Det er snakk om en fiktiv by, og uten å spekulere veldig i hvorfor Wilder valgte å skape en egen by, vil vi påstå at det er fordi byen er ment mer som idéen om en by, heller enn en faktisk by. Dette gjenspeiler seg i handlingene og samtalene som i stor grad preger stykket, og som er hverdagslige </w:t>
      </w:r>
      <w:r w:rsidR="00F007FD">
        <w:t xml:space="preserve">og gjennomsnittlige. Den informasjonen vi får om byen, blir formidlet gjennom </w:t>
      </w:r>
      <w:commentRangeStart w:id="17"/>
      <w:r w:rsidR="00F007FD">
        <w:t>”tell, don´t show”</w:t>
      </w:r>
      <w:commentRangeEnd w:id="17"/>
      <w:r w:rsidR="0022680F">
        <w:rPr>
          <w:rStyle w:val="Merknadsreferanse"/>
        </w:rPr>
        <w:commentReference w:id="17"/>
      </w:r>
      <w:r w:rsidR="00F007FD">
        <w:t>. Det er Stage Manager, Professor Willard og Mr Webb som hovedsakelig står for informasjonsformidlingen. Publikum får aldri sett byen med egne øyne, men må ty til fantasien og skape sine egne indre bilder. Scenerommet er preget av</w:t>
      </w:r>
      <w:r w:rsidR="006B49D1">
        <w:t xml:space="preserve"> mangel på kulisser og rekvisitter. </w:t>
      </w:r>
      <w:r w:rsidR="00FD3659">
        <w:t>Det eneste som er på scenen to bord, sek</w:t>
      </w:r>
      <w:r w:rsidR="00F007FD">
        <w:t xml:space="preserve">s stoler, en benk og espalier. Senere brukes de gjenstandene som allerede er på scenen til å skape isbaren. Scenen er heller ikke ferdig/klar i det publikum kommer inn på </w:t>
      </w:r>
      <w:commentRangeStart w:id="18"/>
      <w:r w:rsidR="00F007FD">
        <w:t>scenen</w:t>
      </w:r>
      <w:commentRangeEnd w:id="18"/>
      <w:r w:rsidR="00823D66">
        <w:rPr>
          <w:rStyle w:val="Merknadsreferanse"/>
        </w:rPr>
        <w:commentReference w:id="18"/>
      </w:r>
      <w:r w:rsidR="00F007FD">
        <w:t xml:space="preserve">. </w:t>
      </w:r>
    </w:p>
    <w:p w14:paraId="361AC08E" w14:textId="77777777" w:rsidR="00F007FD" w:rsidRDefault="00F007FD" w:rsidP="006779B4">
      <w:pPr>
        <w:spacing w:line="360" w:lineRule="auto"/>
      </w:pPr>
    </w:p>
    <w:p w14:paraId="3B6F7C99" w14:textId="77777777" w:rsidR="0087089E" w:rsidRDefault="0087089E" w:rsidP="006779B4">
      <w:pPr>
        <w:spacing w:line="360" w:lineRule="auto"/>
      </w:pPr>
    </w:p>
    <w:p w14:paraId="2E2AE6FB" w14:textId="77777777" w:rsidR="00A16C7A" w:rsidRDefault="00A16C7A" w:rsidP="006779B4">
      <w:pPr>
        <w:spacing w:line="360" w:lineRule="auto"/>
      </w:pPr>
    </w:p>
    <w:p w14:paraId="7D254465" w14:textId="68586092" w:rsidR="00A16C7A" w:rsidRDefault="00F007FD" w:rsidP="006779B4">
      <w:pPr>
        <w:spacing w:line="360" w:lineRule="auto"/>
      </w:pPr>
      <w:r>
        <w:lastRenderedPageBreak/>
        <w:t>I tillegg til Stage Manager er det særlig familiene Webb og Gib</w:t>
      </w:r>
      <w:r w:rsidR="00240B51">
        <w:t>bs som spiller sentrale roller i alle de tre aktene. De resterende karakterene er viet mindre fokus, hvor av noen av dem kun spiller ”funksjonelle” roller. Et eksempel er professoren som kommer inn på scenen for å oppgi opplysninger om byen. Etter at han har utført sitt bidrag forlater han scenen. Det som er til felles for alle av karakterene er at de er nokså flate, noe som gjør dem mer typete enn individuelle. Det finnes ingen</w:t>
      </w:r>
      <w:r w:rsidR="00A16C7A">
        <w:t xml:space="preserve"> dype psykologiske personskildringer. De fleste er fanget i hverdagen og dens rutiner. </w:t>
      </w:r>
      <w:r w:rsidR="00240B51">
        <w:t xml:space="preserve">Helt ordinære mennesker i en helt ordinær by. </w:t>
      </w:r>
    </w:p>
    <w:p w14:paraId="10CE84EF" w14:textId="77777777" w:rsidR="0008415C" w:rsidRDefault="0008415C"/>
    <w:p w14:paraId="48AEDEA1" w14:textId="77777777" w:rsidR="00170C9E" w:rsidRDefault="00A93015" w:rsidP="00170C9E">
      <w:pPr>
        <w:spacing w:line="360" w:lineRule="auto"/>
      </w:pPr>
      <w:commentRangeStart w:id="19"/>
      <w:r>
        <w:t>V</w:t>
      </w:r>
      <w:commentRangeEnd w:id="19"/>
      <w:r w:rsidR="007825CD">
        <w:rPr>
          <w:rStyle w:val="Merknadsreferanse"/>
        </w:rPr>
        <w:commentReference w:id="19"/>
      </w:r>
      <w:r>
        <w:t xml:space="preserve">i vil avslutningsvis diskutere de </w:t>
      </w:r>
      <w:commentRangeStart w:id="20"/>
      <w:r>
        <w:t xml:space="preserve">modernistiske trekkene </w:t>
      </w:r>
      <w:commentRangeEnd w:id="20"/>
      <w:r w:rsidR="005968C6">
        <w:rPr>
          <w:rStyle w:val="Merknadsreferanse"/>
        </w:rPr>
        <w:commentReference w:id="20"/>
      </w:r>
      <w:r>
        <w:t xml:space="preserve">i dette dramaet. Med modernistiske trekk mener vi de aspektene i stykket som bryter med med de dramatiske konvensjonene. Vi vil særlig fokusere på illusjonsbruddene. Stykket starter med et illusjonsbrudd allerede før det har startet. Når publikum kommer inn i salen får de ikke se det de forventer å se. Som tidligere påpekt er ikke scenen ferdig rigget, og det mangler også sceneteppe. Mangelen på kulisser og rekvisitter tvinger publikum til å være delaktig. Også det vi tidligere har nevnt i sammenheng med Stage Manager er eksempler på dette. Dette blir et brudd da publikum ikke kan lene seg tilbake i stolene og leve seg inn i en handling. De blir til stadighet påminnet om at dette ikke er ekte, men at de ser på et skuespill. </w:t>
      </w:r>
    </w:p>
    <w:p w14:paraId="431879B4" w14:textId="77777777" w:rsidR="00170C9E" w:rsidRDefault="00170C9E" w:rsidP="00170C9E">
      <w:pPr>
        <w:spacing w:line="360" w:lineRule="auto"/>
      </w:pPr>
    </w:p>
    <w:p w14:paraId="18EFF5A1" w14:textId="779FA8B7" w:rsidR="00170C9E" w:rsidRDefault="00170C9E" w:rsidP="00342DC1">
      <w:pPr>
        <w:spacing w:line="276" w:lineRule="auto"/>
        <w:ind w:left="708"/>
        <w:rPr>
          <w:sz w:val="22"/>
          <w:szCs w:val="22"/>
        </w:rPr>
      </w:pPr>
      <w:r w:rsidRPr="00170C9E">
        <w:rPr>
          <w:sz w:val="22"/>
          <w:szCs w:val="22"/>
        </w:rPr>
        <w:t xml:space="preserve">”All these times the illusion of the realism of the play is broken by another reality, and paradoxically it is strengthened in its meaning. The audience is not allowed for very long to get cauht up in the singular events of the characters before being forced to confront the truth that they are watching a performance in a theatre, and its very importance is that it is a performance” (Haberman, s. 27). </w:t>
      </w:r>
    </w:p>
    <w:p w14:paraId="1D01C6BC" w14:textId="77777777" w:rsidR="00170C9E" w:rsidRDefault="00170C9E" w:rsidP="00170C9E">
      <w:pPr>
        <w:spacing w:line="360" w:lineRule="auto"/>
        <w:ind w:left="708"/>
        <w:rPr>
          <w:sz w:val="22"/>
          <w:szCs w:val="22"/>
        </w:rPr>
      </w:pPr>
    </w:p>
    <w:p w14:paraId="6831D3B1" w14:textId="1AAFEB23" w:rsidR="00170C9E" w:rsidRPr="00170C9E" w:rsidRDefault="00170C9E" w:rsidP="00170C9E">
      <w:pPr>
        <w:spacing w:line="360" w:lineRule="auto"/>
      </w:pPr>
      <w:commentRangeStart w:id="21"/>
      <w:r w:rsidRPr="00170C9E">
        <w:t>Slutten av akt tre</w:t>
      </w:r>
      <w:r>
        <w:t xml:space="preserve"> er klisjépreget i sin oppfordring til menneskene</w:t>
      </w:r>
      <w:commentRangeEnd w:id="21"/>
      <w:r w:rsidR="008851F0">
        <w:rPr>
          <w:rStyle w:val="Merknadsreferanse"/>
        </w:rPr>
        <w:commentReference w:id="21"/>
      </w:r>
      <w:r>
        <w:t xml:space="preserve"> (både publikum og mennesker generelt) om å leve i nået og være til stede i sine egne liv, bærer også preg av det </w:t>
      </w:r>
      <w:commentRangeStart w:id="22"/>
      <w:r>
        <w:t>modernistiske</w:t>
      </w:r>
      <w:commentRangeEnd w:id="22"/>
      <w:r w:rsidR="00F71EB1">
        <w:rPr>
          <w:rStyle w:val="Merknadsreferanse"/>
        </w:rPr>
        <w:commentReference w:id="22"/>
      </w:r>
      <w:r>
        <w:t xml:space="preserve">. Det er en oppfordring til å komme ut av dvalen, og å være aktive, årvåkne og til stede i sine liv. Alle disse bruddene kan ses på som en reaksjon på titteskapsteateret, dermed blir det også et anti-borgerlig teater. </w:t>
      </w:r>
    </w:p>
    <w:p w14:paraId="53B1B44F" w14:textId="2182E9BC" w:rsidR="00A93015" w:rsidRDefault="00A93015" w:rsidP="00A93015">
      <w:pPr>
        <w:spacing w:line="360" w:lineRule="auto"/>
      </w:pPr>
    </w:p>
    <w:p w14:paraId="5488134F" w14:textId="7DA4D521" w:rsidR="00A93015" w:rsidRPr="00170C9E" w:rsidRDefault="00170C9E" w:rsidP="00170C9E">
      <w:pPr>
        <w:ind w:left="708"/>
        <w:rPr>
          <w:sz w:val="22"/>
          <w:szCs w:val="22"/>
        </w:rPr>
      </w:pPr>
      <w:r w:rsidRPr="00170C9E">
        <w:rPr>
          <w:sz w:val="22"/>
          <w:szCs w:val="22"/>
        </w:rPr>
        <w:t>”Namely, he tells bourgois audiences exactly what they want to hear, but in a way that makes them think they are discovering something new or startling. Wilder thus makes the familiar strange or striking in a way consonant with the Brechtian theory of Verfremdung, but certainly not to an end of which the politically revolitionary Brecht would approve” (</w:t>
      </w:r>
      <w:r w:rsidR="00342DC1">
        <w:rPr>
          <w:sz w:val="22"/>
          <w:szCs w:val="22"/>
        </w:rPr>
        <w:t xml:space="preserve">Cardullo, </w:t>
      </w:r>
      <w:r w:rsidRPr="00170C9E">
        <w:rPr>
          <w:sz w:val="22"/>
          <w:szCs w:val="22"/>
        </w:rPr>
        <w:t xml:space="preserve">s. </w:t>
      </w:r>
      <w:commentRangeStart w:id="23"/>
      <w:r w:rsidRPr="00170C9E">
        <w:rPr>
          <w:sz w:val="22"/>
          <w:szCs w:val="22"/>
        </w:rPr>
        <w:t>85</w:t>
      </w:r>
      <w:commentRangeEnd w:id="23"/>
      <w:r w:rsidR="00BA2DCA">
        <w:rPr>
          <w:rStyle w:val="Merknadsreferanse"/>
        </w:rPr>
        <w:commentReference w:id="23"/>
      </w:r>
      <w:r w:rsidRPr="00170C9E">
        <w:rPr>
          <w:sz w:val="22"/>
          <w:szCs w:val="22"/>
        </w:rPr>
        <w:t>)</w:t>
      </w:r>
    </w:p>
    <w:p w14:paraId="103DB646" w14:textId="77777777" w:rsidR="00A93015" w:rsidRPr="00A93015" w:rsidRDefault="00A93015"/>
    <w:p w14:paraId="2703825A" w14:textId="044BB625" w:rsidR="00FD3659" w:rsidRDefault="00342DC1" w:rsidP="002A2A8E">
      <w:pPr>
        <w:spacing w:line="360" w:lineRule="auto"/>
      </w:pPr>
      <w:r>
        <w:lastRenderedPageBreak/>
        <w:t xml:space="preserve">Sitatene over </w:t>
      </w:r>
      <w:commentRangeStart w:id="24"/>
      <w:r>
        <w:t xml:space="preserve">viser en uenighet mellom Haberman og Cardullo </w:t>
      </w:r>
      <w:commentRangeEnd w:id="24"/>
      <w:r w:rsidR="008B6486">
        <w:rPr>
          <w:rStyle w:val="Merknadsreferanse"/>
        </w:rPr>
        <w:commentReference w:id="24"/>
      </w:r>
      <w:r>
        <w:t xml:space="preserve">når det kommer til forholdet mellom det realistiske og  det modernistiske ved stykket. </w:t>
      </w:r>
      <w:r w:rsidR="002A2A8E">
        <w:t xml:space="preserve">Vår hensikt her er ikke å fastslå hvem som har rett i denne diskusjonen, men å påpeke aspektene knyttet til fremmedgjøring. </w:t>
      </w:r>
    </w:p>
    <w:p w14:paraId="6797611C" w14:textId="77777777" w:rsidR="002A2A8E" w:rsidRDefault="002A2A8E" w:rsidP="002A2A8E">
      <w:pPr>
        <w:spacing w:line="360" w:lineRule="auto"/>
      </w:pPr>
    </w:p>
    <w:p w14:paraId="35756DCD" w14:textId="2CF80653" w:rsidR="002A2A8E" w:rsidRDefault="008A4AB1" w:rsidP="002A2A8E">
      <w:pPr>
        <w:spacing w:line="360" w:lineRule="auto"/>
      </w:pPr>
      <w:r>
        <w:t>Litteratur: (ikke helt korrekt referanseoppsett rent formelt)</w:t>
      </w:r>
    </w:p>
    <w:p w14:paraId="272071CC" w14:textId="77777777" w:rsidR="008A4AB1" w:rsidRDefault="008A4AB1" w:rsidP="002A2A8E">
      <w:pPr>
        <w:spacing w:line="360" w:lineRule="auto"/>
      </w:pPr>
    </w:p>
    <w:p w14:paraId="6523C671" w14:textId="354D7E7D" w:rsidR="008A4AB1" w:rsidRDefault="008A4AB1" w:rsidP="002A2A8E">
      <w:pPr>
        <w:spacing w:line="360" w:lineRule="auto"/>
      </w:pPr>
      <w:r>
        <w:t>Cardullo, B. Whose town is it, anyway? A reconsideration of Thornton Wilder´s Our Town.</w:t>
      </w:r>
    </w:p>
    <w:p w14:paraId="78FA3FE6" w14:textId="2262E628" w:rsidR="008A4AB1" w:rsidRDefault="008A4AB1" w:rsidP="002A2A8E">
      <w:pPr>
        <w:spacing w:line="360" w:lineRule="auto"/>
      </w:pPr>
      <w:r>
        <w:t>Haberman, D. Our Town. An american play.</w:t>
      </w:r>
    </w:p>
    <w:p w14:paraId="4C4F89B6" w14:textId="47245A9B" w:rsidR="008A4AB1" w:rsidRDefault="008A4AB1" w:rsidP="002A2A8E">
      <w:pPr>
        <w:spacing w:line="360" w:lineRule="auto"/>
      </w:pPr>
      <w:r>
        <w:t xml:space="preserve">Wilder, T. Our Town and other plays. </w:t>
      </w:r>
    </w:p>
    <w:p w14:paraId="54EB21E5" w14:textId="77777777" w:rsidR="002A2A8E" w:rsidRDefault="002A2A8E" w:rsidP="002A2A8E">
      <w:pPr>
        <w:spacing w:line="360" w:lineRule="auto"/>
      </w:pPr>
    </w:p>
    <w:p w14:paraId="4CAC8957" w14:textId="77B8B6DA" w:rsidR="00FD3659" w:rsidRDefault="002A2A8E">
      <w:r>
        <w:t xml:space="preserve"> </w:t>
      </w:r>
    </w:p>
    <w:sectPr w:rsidR="00FD3659" w:rsidSect="006779B4">
      <w:footerReference w:type="even" r:id="rId8"/>
      <w:footerReference w:type="default" r:id="rId9"/>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3-09T15:13:00Z" w:initials="LS">
    <w:p w14:paraId="23AD3D37" w14:textId="1F86C602" w:rsidR="006A5A4D" w:rsidRPr="00C774CA" w:rsidRDefault="006A5A4D">
      <w:pPr>
        <w:pStyle w:val="Merknadstekst"/>
      </w:pPr>
      <w:r>
        <w:rPr>
          <w:rStyle w:val="Merknadsreferanse"/>
        </w:rPr>
        <w:annotationRef/>
      </w:r>
      <w:r w:rsidR="00EC7841">
        <w:t>Ytterligere o</w:t>
      </w:r>
      <w:r w:rsidR="002C7168">
        <w:t>ppsummerende kommentarer</w:t>
      </w:r>
      <w:bookmarkStart w:id="2" w:name="_GoBack"/>
      <w:bookmarkEnd w:id="2"/>
      <w:r>
        <w:t xml:space="preserve"> </w:t>
      </w:r>
      <w:r w:rsidR="00EC7841">
        <w:t>gir vi muntlig i seminaret med ref. til Szondi og Lukács, og med påpekning av de her manglende Kompositoriske elementene og deres repetisjon, samt deres funksjoner i verket</w:t>
      </w:r>
      <w:r>
        <w:t>. – Fint utkast dette, er godt på vei. Det som i særlig grad mangler, er en analyse av (noen av) de rep</w:t>
      </w:r>
      <w:r w:rsidR="00B707B0">
        <w:t>e</w:t>
      </w:r>
      <w:r>
        <w:t xml:space="preserve">terte Kompositoriske trekkene, spesielt i form av motiv/billed-strukturer, herunder bl.a. noe av det dere </w:t>
      </w:r>
      <w:r>
        <w:rPr>
          <w:i/>
        </w:rPr>
        <w:t>har</w:t>
      </w:r>
      <w:r>
        <w:t xml:space="preserve"> tak i: blikk som personlig perspektivisk utsyn, og som refleksivt blikk: et annet, helhetlig blikk (som personalt ikke kan ses); osv.</w:t>
      </w:r>
    </w:p>
  </w:comment>
  <w:comment w:id="1" w:author="Emma Helene Heggdal" w:date="2018-03-01T18:48:00Z" w:initials="EHH">
    <w:p w14:paraId="21DFEBDC" w14:textId="77777777" w:rsidR="006A5A4D" w:rsidRDefault="006A5A4D">
      <w:pPr>
        <w:pStyle w:val="Merknadstekst"/>
      </w:pPr>
      <w:r>
        <w:rPr>
          <w:rStyle w:val="Merknadsreferanse"/>
        </w:rPr>
        <w:annotationRef/>
      </w:r>
      <w:r>
        <w:t>Hei!</w:t>
      </w:r>
    </w:p>
    <w:p w14:paraId="059980B9" w14:textId="77777777" w:rsidR="006A5A4D" w:rsidRDefault="006A5A4D">
      <w:pPr>
        <w:pStyle w:val="Merknadstekst"/>
      </w:pPr>
    </w:p>
    <w:p w14:paraId="2FA841A8" w14:textId="77777777" w:rsidR="006A5A4D" w:rsidRDefault="006A5A4D">
      <w:pPr>
        <w:pStyle w:val="Merknadstekst"/>
      </w:pPr>
      <w:r>
        <w:t>Kort oppsum: godt lest, godt tenkt, noe uoversiktelig satt opp. Kan kanskje tenke på underoverskrifter til neste gang?</w:t>
      </w:r>
    </w:p>
    <w:p w14:paraId="3E569B0E" w14:textId="77777777" w:rsidR="006A5A4D" w:rsidRDefault="006A5A4D">
      <w:pPr>
        <w:pStyle w:val="Merknadstekst"/>
      </w:pPr>
    </w:p>
    <w:p w14:paraId="4820494E" w14:textId="31CA1F1F" w:rsidR="006A5A4D" w:rsidRDefault="006A5A4D">
      <w:pPr>
        <w:pStyle w:val="Merknadstekst"/>
      </w:pPr>
      <w:r>
        <w:t xml:space="preserve">Ellers: sidetall, Times New Roman.  </w:t>
      </w:r>
    </w:p>
    <w:p w14:paraId="0561C6E7" w14:textId="77777777" w:rsidR="006A5A4D" w:rsidRDefault="006A5A4D">
      <w:pPr>
        <w:pStyle w:val="Merknadstekst"/>
      </w:pPr>
    </w:p>
    <w:p w14:paraId="4F60E4A6" w14:textId="77777777" w:rsidR="006A5A4D" w:rsidRDefault="006A5A4D">
      <w:pPr>
        <w:pStyle w:val="Merknadstekst"/>
      </w:pPr>
      <w:r>
        <w:t xml:space="preserve">En del skrivefeil – spesielt viktig når det gjelder sitater at det er riktig. </w:t>
      </w:r>
    </w:p>
    <w:p w14:paraId="09BE4820" w14:textId="77777777" w:rsidR="006A5A4D" w:rsidRDefault="006A5A4D">
      <w:pPr>
        <w:pStyle w:val="Merknadstekst"/>
      </w:pPr>
    </w:p>
    <w:p w14:paraId="244A9F10" w14:textId="6CD1C053" w:rsidR="006A5A4D" w:rsidRDefault="006A5A4D">
      <w:pPr>
        <w:pStyle w:val="Merknadstekst"/>
      </w:pPr>
      <w:r>
        <w:t xml:space="preserve">Påpeker mange interessante trekk, men setter det ikke i sammenheng – har de noe de tenker på når det gjelder formen i stykket? Hvordan det bygges opp i sammenheng med tematikken? </w:t>
      </w:r>
    </w:p>
    <w:p w14:paraId="45CC2497" w14:textId="43A4992F" w:rsidR="006A5A4D" w:rsidRDefault="006A5A4D">
      <w:pPr>
        <w:pStyle w:val="Merknadstekst"/>
      </w:pPr>
    </w:p>
    <w:p w14:paraId="1C95823C" w14:textId="673E4998" w:rsidR="006A5A4D" w:rsidRDefault="006A5A4D">
      <w:pPr>
        <w:pStyle w:val="Merknadstekst"/>
      </w:pPr>
      <w:r>
        <w:t xml:space="preserve">Har de noen tanker om forholdet mellom oppsetning og lesedrama? Hvordan «opplever» vi teksten slik vi leser den? </w:t>
      </w:r>
    </w:p>
  </w:comment>
  <w:comment w:id="3" w:author="Lars Sætre" w:date="2018-03-08T13:49:00Z" w:initials="LS">
    <w:p w14:paraId="20F5674A" w14:textId="046231E9" w:rsidR="006A5A4D" w:rsidRDefault="006A5A4D">
      <w:pPr>
        <w:pStyle w:val="Merknadstekst"/>
      </w:pPr>
      <w:r>
        <w:rPr>
          <w:rStyle w:val="Merknadsreferanse"/>
        </w:rPr>
        <w:annotationRef/>
      </w:r>
      <w:r>
        <w:t>Ok at dere skriver Struktur; kanskje likevel anvende Komposisjon som begrep; kanskje ville det gitt analyseutkastet større fokus på (andre) kompositoriske elementer som ikke berøres, hvorav det finnes mange?</w:t>
      </w:r>
    </w:p>
  </w:comment>
  <w:comment w:id="4" w:author="Lars Sætre" w:date="2018-03-08T15:09:00Z" w:initials="LS">
    <w:p w14:paraId="0202BAA2" w14:textId="5FEF4F24" w:rsidR="006A5A4D" w:rsidRDefault="006A5A4D">
      <w:pPr>
        <w:pStyle w:val="Merknadstekst"/>
      </w:pPr>
      <w:r>
        <w:rPr>
          <w:rStyle w:val="Merknadsreferanse"/>
        </w:rPr>
        <w:annotationRef/>
      </w:r>
      <w:r>
        <w:t xml:space="preserve">Modernismen er en litterær retning og periode (inne i det moderne/moderniteten), som startet tidl 1900-tall (rundt 1910) og varte noen tiår. Bruk heller begr. moderne, det moderne, modernitet. – Det moderne som historiefilosofisk, litterær/kunst-, kultur- og siviliastorisk periode startet ca 1770 (og varer, som sen-modernitet, fremdeles). Den relaterer seg til de vestlige samfunnenes moderniseringsprosess, hvor litteratur/kunst blir en egen særsfære av praksis og tillegges en viktig, gjen-samlende, re-helhetliggjørende oppgave i samfunnene. – Litteratur og kunst får i det moderne pålagt seg den paradoksale oppgaven av å tilføre det som Lukács (og Szondi) påpeker er blitt borte i det moderne: den transcendentale [omsluttende, helhetlige, innbefattende] himmel, eller "tak". Lukács uttrykker dette slik i </w:t>
      </w:r>
      <w:r w:rsidRPr="00CB300C">
        <w:rPr>
          <w:i/>
        </w:rPr>
        <w:t>Theory of the Novel</w:t>
      </w:r>
      <w:r>
        <w:t>: Eksistensen i det moderne har fått "eine transzendentale Obdachlosighkeit", en transcendental takløshet/takmangel.</w:t>
      </w:r>
    </w:p>
  </w:comment>
  <w:comment w:id="5" w:author="Emma Helene Heggdal" w:date="2018-03-01T18:52:00Z" w:initials="EHH">
    <w:p w14:paraId="1BD87B21" w14:textId="0AFFD7AC" w:rsidR="006A5A4D" w:rsidRDefault="006A5A4D">
      <w:pPr>
        <w:pStyle w:val="Merknadstekst"/>
      </w:pPr>
      <w:r>
        <w:rPr>
          <w:rStyle w:val="Merknadsreferanse"/>
        </w:rPr>
        <w:annotationRef/>
      </w:r>
      <w:r>
        <w:t>bra med veiledende grep her</w:t>
      </w:r>
    </w:p>
  </w:comment>
  <w:comment w:id="6" w:author="Lars Sætre" w:date="2018-03-08T13:47:00Z" w:initials="LS">
    <w:p w14:paraId="661EE614" w14:textId="7109D320" w:rsidR="006A5A4D" w:rsidRDefault="006A5A4D">
      <w:pPr>
        <w:pStyle w:val="Merknadstekst"/>
      </w:pPr>
      <w:r>
        <w:rPr>
          <w:rStyle w:val="Merknadsreferanse"/>
        </w:rPr>
        <w:annotationRef/>
      </w:r>
      <w:r>
        <w:t>Teaterteksten inneholder både analepser (til den vikt. scenen hos Mr Morgan; til Es 12 års f.dag) og prolepser, noen av disse påpekes. Men dette innebærer da at teksten arbeider med å fange tid i en helhet, å overskride klokketiden.</w:t>
      </w:r>
    </w:p>
  </w:comment>
  <w:comment w:id="7" w:author="Lars Sætre" w:date="2018-03-08T13:56:00Z" w:initials="LS">
    <w:p w14:paraId="0C41BB0B" w14:textId="205E0635" w:rsidR="006A5A4D" w:rsidRDefault="006A5A4D">
      <w:pPr>
        <w:pStyle w:val="Merknadstekst"/>
      </w:pPr>
      <w:r>
        <w:rPr>
          <w:rStyle w:val="Merknadsreferanse"/>
        </w:rPr>
        <w:annotationRef/>
      </w:r>
      <w:r>
        <w:t>Finnes et visst gr.lag for å hevde at aktene er inn delt tematisk (dog: under hvilken tematikk?); men vél så viktig kan det være å si at at de på overflaten er inndelt temporalt/kronologisk, og samtidig at de som temporale arbeider for en samlende (romlig) temporalitet.</w:t>
      </w:r>
    </w:p>
  </w:comment>
  <w:comment w:id="8" w:author="Lars Sætre" w:date="2018-03-08T13:58:00Z" w:initials="LS">
    <w:p w14:paraId="0F2B0D43" w14:textId="5A0597AC" w:rsidR="006A5A4D" w:rsidRDefault="006A5A4D">
      <w:pPr>
        <w:pStyle w:val="Merknadstekst"/>
      </w:pPr>
      <w:r>
        <w:rPr>
          <w:rStyle w:val="Merknadsreferanse"/>
        </w:rPr>
        <w:annotationRef/>
      </w:r>
      <w:r>
        <w:t>Ja, hva ”er” tredje akt om (kort uttrykt som tittel)? Flere elementer i teksten peker mot at den ”har”/skulle hatt tittelen ”Death”, eller ”Otherness”, eller ”The Beyond”, eller den rene negasjonen som ligger i ”Nothingness”.</w:t>
      </w:r>
    </w:p>
  </w:comment>
  <w:comment w:id="9" w:author="Lars Sætre" w:date="2018-03-08T15:14:00Z" w:initials="LS">
    <w:p w14:paraId="00B634F1" w14:textId="7B45F051" w:rsidR="006A5A4D" w:rsidRDefault="006A5A4D">
      <w:pPr>
        <w:pStyle w:val="Merknadstekst"/>
      </w:pPr>
      <w:r>
        <w:rPr>
          <w:rStyle w:val="Merknadsreferanse"/>
        </w:rPr>
        <w:annotationRef/>
      </w:r>
      <w:r>
        <w:t xml:space="preserve">Herfra og utover i de neste anvs. peker dere fint på hvordan og med hvilke virkemidler teaterteksten arbeider i retning av lagdelt (lag på lag, nivå for nivå) fremstilling av temporalitet og rom; her: topografi, historie, politikk, samfunn, osv. Og (som dere ikke nevner): tolsvarende "oppover"/"utover": klima, vær, geografi, kontinent, verden, univers, stjerner, sol/måne, verdensrom, univers. – Alt dette veves tekstuelt sammen til en annerledes (enn den hverdagslige), omseggripende, omfattende romlighet og temporalitet. Et utkast, mao., til helhetliggjøring av det som i hverdagen er partikulært. – Her ligger (iflg. Szondi og Lukács) en av den moderne litteraturens/kunsten oppgaver, og i dramakunsten: en oppgave som mer og mer gjør dramatikken episert og perspektivistisk: Nemlig at den i fremstillingen av sitt materiale må forlate hhv. utvide sitt tradisjonelle ansvar for den allmenne, absolutte sannhet, til fordel for også nå å hente inn den partikulære, ekstensive virkelighet, som jo har vært epikens/romankunstens oppgave alene før det moderne. Pga av samfunnsutviklingen (moderniseringsprosessen) får dramatikken nytt materiale å forholde seg til (fortiden; det indre i menneskene/sjelelivet/psykologien). I den moderne dramatikken nedfeller dette seg som form, nye formtrekk – all den tid fortid og menneskets indre kun kan berettes/fortelles (episk), og dermed samtidig bli perspektivistisk. Dramaets tidligere absolutte "nåtidige, mellom-menneskelige handlingsgang" konfronteres i det moderne dramaets krise (Ibsen, Strindberg, Tsjekhov, Maeterlinck, Hauptmann) med behovet for å fortelle perspektivisk om fortid og det indre. Mao. dramtikken må nå innstille seg på også å innbefatte tilværelsens ekstensive totalitet (som romankunsten), ikke bare den helhetlig absolutte. Dette fører til både redningsforsøk og løsningsforsøk i forh. til den klassiske formen av "nåtidig, mellom-menneskelig handlingsgang". Hos Wilder finnes et løsningsforsøk (som hos Brecht og andre): å gjøre dramatikken episk og perspektivisk, og samtidig arbeide for en annen, samlende og helhetliggjørende sannhet, verdi, innsikt: Dette siste gjøres i den moderne dramtikken i særlig grad ved hjelp av repeterte motiver/bilder, altså (som i romankunsten): kompositorisk. – Jfr., som nevnt ovenfor: Litteratur og kunst får i det moderne pålagt seg den partadoksale oppgaven av å tilføre det som Lukács (og Szondi) påpeker er blitt borte i det moderne: den transcendentale [omsluttende, helhetlige, innbefattende] himmel, eller "tak". Lukács uttrykker dette slik i </w:t>
      </w:r>
      <w:r w:rsidRPr="00CB300C">
        <w:rPr>
          <w:i/>
        </w:rPr>
        <w:t>Theory of the Novel</w:t>
      </w:r>
      <w:r>
        <w:t xml:space="preserve">: Eksistensen i det moderne har fått "eine transzendentale Obdachlosighkeit", en transcendental takløshet/takmangel. Paradokset: Denne må kunsten tilføre nettopp som kunst: forkunstet, kunstferdig, kunstig. Den må dekke inn (deler av) den ekstensive totalitet (det gir episering og perspektivisme), samtidig må den kunstferdig samle dette igjen til en nå forkunstet helhet (litterært kompositorisk). – For alt dette: Les Szondis bok, og/eller utdraget fra den </w:t>
      </w:r>
      <w:r w:rsidRPr="00296154">
        <w:rPr>
          <w:i/>
        </w:rPr>
        <w:t>Mod.litt.teori</w:t>
      </w:r>
      <w:r>
        <w:t>: "Det moderne dramaets teori".</w:t>
      </w:r>
    </w:p>
  </w:comment>
  <w:comment w:id="10" w:author="Lars Sætre" w:date="2018-03-08T14:41:00Z" w:initials="LS">
    <w:p w14:paraId="4D40B6A1" w14:textId="4F3544D0" w:rsidR="006A5A4D" w:rsidRDefault="006A5A4D">
      <w:pPr>
        <w:pStyle w:val="Merknadstekst"/>
      </w:pPr>
      <w:r>
        <w:rPr>
          <w:rStyle w:val="Merknadsreferanse"/>
        </w:rPr>
        <w:annotationRef/>
      </w:r>
      <w:r>
        <w:t>dying. –</w:t>
      </w:r>
    </w:p>
    <w:p w14:paraId="4F3C166D" w14:textId="2A48F263" w:rsidR="006A5A4D" w:rsidRDefault="006A5A4D">
      <w:pPr>
        <w:pStyle w:val="Merknadstekst"/>
      </w:pPr>
      <w:r>
        <w:t>Her ligger en direkte ref. til hva tekstens tredje akt ”har” som tittel (”Death”). Den er forberedt av St.Mgr., som dere fint asntyder. Det finnes også flere andre, som gravplassen og samtalen ml. de døde, som dere fint peker på, og de motivene som i økende grad utover i stykket i form av undetoner gir semantisk retning mot døden (undergangen), intetheten, negasjonen: Været (de klimatiske forholdenes økende grad av livs-trussel); Georges repeterte replikker av hvor lenge han har igjen å leve (overflatisk ironi av 1. grad, men i dybdestruktur et semantisk ladet ”omen of” komende død); osv.</w:t>
      </w:r>
    </w:p>
  </w:comment>
  <w:comment w:id="11" w:author="Lars Sætre" w:date="2018-03-08T14:44:00Z" w:initials="LS">
    <w:p w14:paraId="28007A1A" w14:textId="781E34E7" w:rsidR="006A5A4D" w:rsidRDefault="006A5A4D">
      <w:pPr>
        <w:pStyle w:val="Merknadstekst"/>
      </w:pPr>
      <w:r>
        <w:rPr>
          <w:rStyle w:val="Merknadsreferanse"/>
        </w:rPr>
        <w:annotationRef/>
      </w:r>
      <w:r>
        <w:t>Ja, som Emma skriver, fint fremtolket moral el. tematisk komponent. – Videre: Jfr. dette sitatet deres med Wilders eget utsagn i forords-artikkelen: ”Each individual’s assertion to an absolute reality [jfr. Szondi; LS] can only be inner, very inner” (Wilder 12).</w:t>
      </w:r>
    </w:p>
  </w:comment>
  <w:comment w:id="12" w:author="Emma Helene Heggdal" w:date="2018-03-01T18:53:00Z" w:initials="EHH">
    <w:p w14:paraId="14018D2C" w14:textId="34EAC36E" w:rsidR="006A5A4D" w:rsidRDefault="006A5A4D">
      <w:pPr>
        <w:pStyle w:val="Merknadstekst"/>
      </w:pPr>
      <w:r>
        <w:rPr>
          <w:rStyle w:val="Merknadsreferanse"/>
        </w:rPr>
        <w:annotationRef/>
      </w:r>
      <w:r>
        <w:t xml:space="preserve">Her fortolker dere fint frem en slags moral eller et budskap fra stykket. </w:t>
      </w:r>
    </w:p>
  </w:comment>
  <w:comment w:id="13" w:author="Lars Sætre" w:date="2018-03-08T15:16:00Z" w:initials="LS">
    <w:p w14:paraId="036B560E" w14:textId="1B65E74D" w:rsidR="006A5A4D" w:rsidRDefault="006A5A4D">
      <w:pPr>
        <w:pStyle w:val="Merknadstekst"/>
      </w:pPr>
      <w:r>
        <w:rPr>
          <w:rStyle w:val="Merknadsreferanse"/>
        </w:rPr>
        <w:annotationRef/>
      </w:r>
      <w:r>
        <w:t>Fint sansede, reflekterte og skrevne observasjoner i dette og de neste avsnittene. – Dere er inne på det, men skriv også presist eller oppsummér at ”tekstlagene” består av det dere kaller Hovedtekst/dialog; av Sidetekst (sceneanvisninger); og av direkte episk Fortelling (i denne også dialogiserende med salen). – I disse tre lagene er St. Mgr. operativ både i Hovedtekst/dialog (også idet han samtidig spiller noen av rollene), og som Forteller/Regissør. Men hvem er det som bidrar med Sideteksten/sceneanvisningene? I disse blir det også fortalt, de er fortellende; mer og mer slik blir det i dramatikken fra det moderne dramaets krisedramatikere av (Ibsen &amp; Co.) og videre utover i den moderne dramatikken i det 20. årh. og senere. Et mulig svar: Sidetekstene gis av den immanente/implisitte forfatter, som dermed også blir en forteller.</w:t>
      </w:r>
    </w:p>
    <w:p w14:paraId="229661D2" w14:textId="1AD93DB9" w:rsidR="006A5A4D" w:rsidRPr="004D425F" w:rsidRDefault="006A5A4D">
      <w:pPr>
        <w:pStyle w:val="Merknadstekst"/>
      </w:pPr>
      <w:r>
        <w:t xml:space="preserve">St. Mgr. er mao. både subjektivt/personalt, episerende perspektivisk, men samtidig også (i og med hans samme fremtredende person </w:t>
      </w:r>
      <w:r>
        <w:rPr>
          <w:i/>
        </w:rPr>
        <w:t>og</w:t>
      </w:r>
      <w:r>
        <w:t xml:space="preserve"> hans delaktighet på tvers av tekstlagene) kompositorisk sammenbindende til en enormt stor, omfattende, sammenhengende helhet. Jfr. Szondis nødvendig episerende perspektivisme i moderne dramatikk, </w:t>
      </w:r>
      <w:r>
        <w:rPr>
          <w:i/>
        </w:rPr>
        <w:t>og</w:t>
      </w:r>
      <w:r>
        <w:t xml:space="preserve"> Sz.s og Lukács’ påpekning av litteraturens og dermed også dramatikkens paradoksale oppgave i moderniteten av å hele, samle på nytt – men nå på kunstferdig, kunstig, forkunstet vis (kompositorisk) – det som allerede er blitt adskilt, fremmedgjort, spesialisert som fra-hverandre-skilte særsfærer av menneskelig praksis og erfaring.</w:t>
      </w:r>
    </w:p>
  </w:comment>
  <w:comment w:id="14" w:author="Lars Sætre" w:date="2018-03-08T15:17:00Z" w:initials="LS">
    <w:p w14:paraId="2196521B" w14:textId="5C97903B" w:rsidR="006A5A4D" w:rsidRDefault="006A5A4D">
      <w:pPr>
        <w:pStyle w:val="Merknadstekst"/>
      </w:pPr>
      <w:r>
        <w:rPr>
          <w:rStyle w:val="Merknadsreferanse"/>
        </w:rPr>
        <w:annotationRef/>
      </w:r>
      <w:r>
        <w:t>det moderne/i moderniteten</w:t>
      </w:r>
    </w:p>
  </w:comment>
  <w:comment w:id="15" w:author="Emma Helene Heggdal" w:date="2018-03-01T18:57:00Z" w:initials="EHH">
    <w:p w14:paraId="2D581A5E" w14:textId="743CD9BA" w:rsidR="006A5A4D" w:rsidRDefault="006A5A4D">
      <w:pPr>
        <w:pStyle w:val="Merknadstekst"/>
      </w:pPr>
      <w:r>
        <w:rPr>
          <w:rStyle w:val="Merknadsreferanse"/>
        </w:rPr>
        <w:annotationRef/>
      </w:r>
      <w:r>
        <w:t xml:space="preserve">i dobbel betydning? Ironi av annen grad? </w:t>
      </w:r>
    </w:p>
  </w:comment>
  <w:comment w:id="16" w:author="Lars Sætre" w:date="2018-03-08T15:19:00Z" w:initials="LS">
    <w:p w14:paraId="2A51AA36" w14:textId="3EC4D4E0" w:rsidR="006A5A4D" w:rsidRDefault="006A5A4D">
      <w:pPr>
        <w:pStyle w:val="Merknadstekst"/>
      </w:pPr>
      <w:r>
        <w:rPr>
          <w:rStyle w:val="Merknadsreferanse"/>
        </w:rPr>
        <w:annotationRef/>
      </w:r>
      <w:r w:rsidR="00F1707D">
        <w:t>Ja, d</w:t>
      </w:r>
      <w:r>
        <w:t>ette er et viktig spørsmål som kunne fått nærmere forsøksvis avklaring. På hvilken måte dramatisk ironi? Og</w:t>
      </w:r>
      <w:r w:rsidR="00F1707D">
        <w:t xml:space="preserve"> i hvilke to/doble betydninger er det ironi, hva gjør disse ironiene til fungerende sådanne?</w:t>
      </w:r>
    </w:p>
  </w:comment>
  <w:comment w:id="17" w:author="Lars Sætre" w:date="2018-03-08T15:20:00Z" w:initials="LS">
    <w:p w14:paraId="5C3685C2" w14:textId="3F6466D1" w:rsidR="0022680F" w:rsidRDefault="0022680F">
      <w:pPr>
        <w:pStyle w:val="Merknadstekst"/>
      </w:pPr>
      <w:r>
        <w:rPr>
          <w:rStyle w:val="Merknadsreferanse"/>
        </w:rPr>
        <w:annotationRef/>
      </w:r>
      <w:r>
        <w:t>Fint poeng.</w:t>
      </w:r>
    </w:p>
  </w:comment>
  <w:comment w:id="18" w:author="Emma Helene Heggdal" w:date="2018-03-01T18:58:00Z" w:initials="EHH">
    <w:p w14:paraId="5D79AC4E" w14:textId="45E94586" w:rsidR="006A5A4D" w:rsidRDefault="006A5A4D">
      <w:pPr>
        <w:pStyle w:val="Merknadstekst"/>
      </w:pPr>
      <w:r>
        <w:rPr>
          <w:rStyle w:val="Merknadsreferanse"/>
        </w:rPr>
        <w:annotationRef/>
      </w:r>
      <w:r>
        <w:t xml:space="preserve">Hva er effekten av disse grepene? Hva opplever vi som tilskuere – eller, vi som lesere? </w:t>
      </w:r>
    </w:p>
  </w:comment>
  <w:comment w:id="19" w:author="Lars Sætre" w:date="2018-03-08T15:21:00Z" w:initials="LS">
    <w:p w14:paraId="52994761" w14:textId="77E3D728" w:rsidR="007825CD" w:rsidRDefault="007825CD">
      <w:pPr>
        <w:pStyle w:val="Merknadstekst"/>
      </w:pPr>
      <w:r>
        <w:rPr>
          <w:rStyle w:val="Merknadsreferanse"/>
        </w:rPr>
        <w:annotationRef/>
      </w:r>
      <w:r>
        <w:t>Fin diskusjon nedover her.</w:t>
      </w:r>
    </w:p>
  </w:comment>
  <w:comment w:id="20" w:author="Emma Helene Heggdal" w:date="2018-03-01T20:03:00Z" w:initials="EHH">
    <w:p w14:paraId="34574B74" w14:textId="49D635F4" w:rsidR="006A5A4D" w:rsidRDefault="006A5A4D">
      <w:pPr>
        <w:pStyle w:val="Merknadstekst"/>
      </w:pPr>
      <w:r>
        <w:rPr>
          <w:rStyle w:val="Merknadsreferanse"/>
        </w:rPr>
        <w:annotationRef/>
      </w:r>
      <w:r>
        <w:t>moderne? «modern»?</w:t>
      </w:r>
    </w:p>
  </w:comment>
  <w:comment w:id="21" w:author="Lars Sætre" w:date="2018-03-08T15:23:00Z" w:initials="LS">
    <w:p w14:paraId="33CC5D11" w14:textId="6FE40A28" w:rsidR="008851F0" w:rsidRDefault="008851F0">
      <w:pPr>
        <w:pStyle w:val="Merknadstekst"/>
      </w:pPr>
      <w:r>
        <w:rPr>
          <w:rStyle w:val="Merknadsreferanse"/>
        </w:rPr>
        <w:annotationRef/>
      </w:r>
      <w:r w:rsidRPr="008851F0">
        <w:rPr>
          <w:i/>
        </w:rPr>
        <w:t>Er</w:t>
      </w:r>
      <w:r>
        <w:t xml:space="preserve"> den klisjépreget? Har den ikke også en dypere bunn? Er den muligvis ikke også eksistensiell, ”historie-filosofisk”, dypt seriøs og reflektert?</w:t>
      </w:r>
    </w:p>
  </w:comment>
  <w:comment w:id="22" w:author="Lars Sætre" w:date="2018-03-08T15:23:00Z" w:initials="LS">
    <w:p w14:paraId="168AE22E" w14:textId="74450ECE" w:rsidR="00F71EB1" w:rsidRDefault="00F71EB1">
      <w:pPr>
        <w:pStyle w:val="Merknadstekst"/>
      </w:pPr>
      <w:r>
        <w:rPr>
          <w:rStyle w:val="Merknadsreferanse"/>
        </w:rPr>
        <w:annotationRef/>
      </w:r>
      <w:r>
        <w:t>det moderne, el.: av moderniteten</w:t>
      </w:r>
    </w:p>
  </w:comment>
  <w:comment w:id="23" w:author="Emma Helene Heggdal" w:date="2018-03-01T20:04:00Z" w:initials="EHH">
    <w:p w14:paraId="2106E227" w14:textId="77777777" w:rsidR="006A5A4D" w:rsidRDefault="006A5A4D">
      <w:pPr>
        <w:pStyle w:val="Merknadstekst"/>
      </w:pPr>
      <w:r>
        <w:rPr>
          <w:rStyle w:val="Merknadsreferanse"/>
        </w:rPr>
        <w:annotationRef/>
      </w:r>
      <w:r>
        <w:t xml:space="preserve">Gode sitater fra teoretikerne – kunne kanskje hatt litt diskusjon – hva tenker de om de? Hvilken er de mest enig med? Og hvorfor? </w:t>
      </w:r>
    </w:p>
    <w:p w14:paraId="5637F4E9" w14:textId="77777777" w:rsidR="006A5A4D" w:rsidRDefault="006A5A4D">
      <w:pPr>
        <w:pStyle w:val="Merknadstekst"/>
      </w:pPr>
      <w:r>
        <w:t xml:space="preserve">Har Cardullo et poeng – er disse menneskene allerede slik som dette idealet med å se og være tilstede? Viser stykket at det aldri går an å være rent tilstede? </w:t>
      </w:r>
    </w:p>
    <w:p w14:paraId="1FB28E13" w14:textId="77777777" w:rsidR="006A5A4D" w:rsidRDefault="006A5A4D">
      <w:pPr>
        <w:pStyle w:val="Merknadstekst"/>
      </w:pPr>
    </w:p>
    <w:p w14:paraId="570A14BB" w14:textId="0053D77B" w:rsidR="006A5A4D" w:rsidRDefault="006A5A4D">
      <w:pPr>
        <w:pStyle w:val="Merknadstekst"/>
      </w:pPr>
      <w:r>
        <w:t xml:space="preserve">Fungerer denne «amerikanske» fremmedgjøringen? Eller viser den et grunnleggende problem i den amerikanske selvskapelsen? </w:t>
      </w:r>
    </w:p>
  </w:comment>
  <w:comment w:id="24" w:author="Lars Sætre" w:date="2018-03-08T15:24:00Z" w:initials="LS">
    <w:p w14:paraId="38CB64AD" w14:textId="5349FC0E" w:rsidR="008B6486" w:rsidRDefault="008B6486">
      <w:pPr>
        <w:pStyle w:val="Merknadstekst"/>
      </w:pPr>
      <w:r>
        <w:rPr>
          <w:rStyle w:val="Merknadsreferanse"/>
        </w:rPr>
        <w:annotationRef/>
      </w:r>
      <w:r>
        <w:t>Fint at dere har hentet inn sekundærtekstene, og slik lagt til rette for en (videre) diskusjon av Forskningstradisjonen etter Wilder.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95823C" w15:done="0"/>
  <w15:commentEx w15:paraId="1BD87B21" w15:done="0"/>
  <w15:commentEx w15:paraId="14018D2C" w15:done="0"/>
  <w15:commentEx w15:paraId="2D581A5E" w15:done="0"/>
  <w15:commentEx w15:paraId="5D79AC4E" w15:done="0"/>
  <w15:commentEx w15:paraId="34574B74" w15:done="0"/>
  <w15:commentEx w15:paraId="570A14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5823C" w16cid:durableId="1E42C994"/>
  <w16cid:commentId w16cid:paraId="1BD87B21" w16cid:durableId="1E42CA74"/>
  <w16cid:commentId w16cid:paraId="14018D2C" w16cid:durableId="1E42CAC4"/>
  <w16cid:commentId w16cid:paraId="2D581A5E" w16cid:durableId="1E42CB8A"/>
  <w16cid:commentId w16cid:paraId="5D79AC4E" w16cid:durableId="1E42CBBF"/>
  <w16cid:commentId w16cid:paraId="34574B74" w16cid:durableId="1E42DAF7"/>
  <w16cid:commentId w16cid:paraId="570A14BB" w16cid:durableId="1E42DB3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73932" w14:textId="77777777" w:rsidR="006A5A4D" w:rsidRDefault="006A5A4D" w:rsidP="006779B4">
      <w:r>
        <w:separator/>
      </w:r>
    </w:p>
  </w:endnote>
  <w:endnote w:type="continuationSeparator" w:id="0">
    <w:p w14:paraId="638C7E39" w14:textId="77777777" w:rsidR="006A5A4D" w:rsidRDefault="006A5A4D" w:rsidP="0067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Arial"/>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279C7" w14:textId="77777777" w:rsidR="006A5A4D" w:rsidRDefault="006A5A4D" w:rsidP="00697D77">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F469392" w14:textId="77777777" w:rsidR="006A5A4D" w:rsidRDefault="006A5A4D" w:rsidP="006779B4">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44C5D" w14:textId="77777777" w:rsidR="006A5A4D" w:rsidRDefault="006A5A4D" w:rsidP="00697D77">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C7168">
      <w:rPr>
        <w:rStyle w:val="Sidetall"/>
        <w:noProof/>
      </w:rPr>
      <w:t>5</w:t>
    </w:r>
    <w:r>
      <w:rPr>
        <w:rStyle w:val="Sidetall"/>
      </w:rPr>
      <w:fldChar w:fldCharType="end"/>
    </w:r>
  </w:p>
  <w:p w14:paraId="02823C91" w14:textId="77777777" w:rsidR="006A5A4D" w:rsidRDefault="006A5A4D" w:rsidP="006779B4">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999E3" w14:textId="77777777" w:rsidR="006A5A4D" w:rsidRDefault="006A5A4D" w:rsidP="006779B4">
      <w:r>
        <w:separator/>
      </w:r>
    </w:p>
  </w:footnote>
  <w:footnote w:type="continuationSeparator" w:id="0">
    <w:p w14:paraId="00E8ADA7" w14:textId="77777777" w:rsidR="006A5A4D" w:rsidRDefault="006A5A4D" w:rsidP="006779B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5C"/>
    <w:rsid w:val="0008415C"/>
    <w:rsid w:val="000C7C36"/>
    <w:rsid w:val="000F3676"/>
    <w:rsid w:val="00115D45"/>
    <w:rsid w:val="00123495"/>
    <w:rsid w:val="00170C9E"/>
    <w:rsid w:val="001C3F69"/>
    <w:rsid w:val="001D2187"/>
    <w:rsid w:val="002026F9"/>
    <w:rsid w:val="0022680F"/>
    <w:rsid w:val="00240B51"/>
    <w:rsid w:val="00241EE4"/>
    <w:rsid w:val="00265C53"/>
    <w:rsid w:val="00296154"/>
    <w:rsid w:val="002A2A8E"/>
    <w:rsid w:val="002B03BF"/>
    <w:rsid w:val="002C6255"/>
    <w:rsid w:val="002C7168"/>
    <w:rsid w:val="00342DC1"/>
    <w:rsid w:val="00344240"/>
    <w:rsid w:val="003735D9"/>
    <w:rsid w:val="003E02BE"/>
    <w:rsid w:val="00465EBE"/>
    <w:rsid w:val="00491B6E"/>
    <w:rsid w:val="004D425F"/>
    <w:rsid w:val="00544CB8"/>
    <w:rsid w:val="00591238"/>
    <w:rsid w:val="005968C6"/>
    <w:rsid w:val="00661125"/>
    <w:rsid w:val="006779B4"/>
    <w:rsid w:val="00697D77"/>
    <w:rsid w:val="006A5A4D"/>
    <w:rsid w:val="006B49D1"/>
    <w:rsid w:val="00764F73"/>
    <w:rsid w:val="007825CD"/>
    <w:rsid w:val="0078606C"/>
    <w:rsid w:val="007A124C"/>
    <w:rsid w:val="007A4220"/>
    <w:rsid w:val="007B47E3"/>
    <w:rsid w:val="00823D66"/>
    <w:rsid w:val="00834A58"/>
    <w:rsid w:val="00840E59"/>
    <w:rsid w:val="0087089E"/>
    <w:rsid w:val="008851F0"/>
    <w:rsid w:val="008A4AB1"/>
    <w:rsid w:val="008B6486"/>
    <w:rsid w:val="009442B8"/>
    <w:rsid w:val="009536B1"/>
    <w:rsid w:val="00961872"/>
    <w:rsid w:val="00975D40"/>
    <w:rsid w:val="00A16C7A"/>
    <w:rsid w:val="00A93015"/>
    <w:rsid w:val="00AB0581"/>
    <w:rsid w:val="00AC7627"/>
    <w:rsid w:val="00B03CAD"/>
    <w:rsid w:val="00B35D4F"/>
    <w:rsid w:val="00B707B0"/>
    <w:rsid w:val="00BA2DCA"/>
    <w:rsid w:val="00BB1386"/>
    <w:rsid w:val="00BC4CB7"/>
    <w:rsid w:val="00C633D6"/>
    <w:rsid w:val="00C774CA"/>
    <w:rsid w:val="00C97BAE"/>
    <w:rsid w:val="00CA082C"/>
    <w:rsid w:val="00CB300C"/>
    <w:rsid w:val="00CD7CE5"/>
    <w:rsid w:val="00D23B89"/>
    <w:rsid w:val="00D726D9"/>
    <w:rsid w:val="00D96754"/>
    <w:rsid w:val="00DB0977"/>
    <w:rsid w:val="00E16C47"/>
    <w:rsid w:val="00E568C3"/>
    <w:rsid w:val="00EC7841"/>
    <w:rsid w:val="00EF1EAB"/>
    <w:rsid w:val="00F007FD"/>
    <w:rsid w:val="00F060F6"/>
    <w:rsid w:val="00F13E18"/>
    <w:rsid w:val="00F1707D"/>
    <w:rsid w:val="00F56178"/>
    <w:rsid w:val="00F71EB1"/>
    <w:rsid w:val="00F926A2"/>
    <w:rsid w:val="00FD365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022DC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6779B4"/>
    <w:pPr>
      <w:tabs>
        <w:tab w:val="center" w:pos="4536"/>
        <w:tab w:val="right" w:pos="9072"/>
      </w:tabs>
    </w:pPr>
  </w:style>
  <w:style w:type="character" w:customStyle="1" w:styleId="BunntekstTegn">
    <w:name w:val="Bunntekst Tegn"/>
    <w:basedOn w:val="Standardskriftforavsnitt"/>
    <w:link w:val="Bunntekst"/>
    <w:uiPriority w:val="99"/>
    <w:rsid w:val="006779B4"/>
  </w:style>
  <w:style w:type="character" w:styleId="Sidetall">
    <w:name w:val="page number"/>
    <w:basedOn w:val="Standardskriftforavsnitt"/>
    <w:uiPriority w:val="99"/>
    <w:semiHidden/>
    <w:unhideWhenUsed/>
    <w:rsid w:val="006779B4"/>
  </w:style>
  <w:style w:type="character" w:styleId="Merknadsreferanse">
    <w:name w:val="annotation reference"/>
    <w:basedOn w:val="Standardskriftforavsnitt"/>
    <w:uiPriority w:val="99"/>
    <w:semiHidden/>
    <w:unhideWhenUsed/>
    <w:rsid w:val="00AC7627"/>
    <w:rPr>
      <w:sz w:val="16"/>
      <w:szCs w:val="16"/>
    </w:rPr>
  </w:style>
  <w:style w:type="paragraph" w:styleId="Merknadstekst">
    <w:name w:val="annotation text"/>
    <w:basedOn w:val="Normal"/>
    <w:link w:val="MerknadstekstTegn"/>
    <w:uiPriority w:val="99"/>
    <w:semiHidden/>
    <w:unhideWhenUsed/>
    <w:rsid w:val="00AC7627"/>
    <w:rPr>
      <w:sz w:val="20"/>
      <w:szCs w:val="20"/>
    </w:rPr>
  </w:style>
  <w:style w:type="character" w:customStyle="1" w:styleId="MerknadstekstTegn">
    <w:name w:val="Merknadstekst Tegn"/>
    <w:basedOn w:val="Standardskriftforavsnitt"/>
    <w:link w:val="Merknadstekst"/>
    <w:uiPriority w:val="99"/>
    <w:semiHidden/>
    <w:rsid w:val="00AC7627"/>
    <w:rPr>
      <w:sz w:val="20"/>
      <w:szCs w:val="20"/>
    </w:rPr>
  </w:style>
  <w:style w:type="paragraph" w:styleId="Kommentaremne">
    <w:name w:val="annotation subject"/>
    <w:basedOn w:val="Merknadstekst"/>
    <w:next w:val="Merknadstekst"/>
    <w:link w:val="KommentaremneTegn"/>
    <w:uiPriority w:val="99"/>
    <w:semiHidden/>
    <w:unhideWhenUsed/>
    <w:rsid w:val="00AC7627"/>
    <w:rPr>
      <w:b/>
      <w:bCs/>
    </w:rPr>
  </w:style>
  <w:style w:type="character" w:customStyle="1" w:styleId="KommentaremneTegn">
    <w:name w:val="Kommentaremne Tegn"/>
    <w:basedOn w:val="MerknadstekstTegn"/>
    <w:link w:val="Kommentaremne"/>
    <w:uiPriority w:val="99"/>
    <w:semiHidden/>
    <w:rsid w:val="00AC7627"/>
    <w:rPr>
      <w:b/>
      <w:bCs/>
      <w:sz w:val="20"/>
      <w:szCs w:val="20"/>
    </w:rPr>
  </w:style>
  <w:style w:type="paragraph" w:styleId="Bobletekst">
    <w:name w:val="Balloon Text"/>
    <w:basedOn w:val="Normal"/>
    <w:link w:val="BobletekstTegn"/>
    <w:uiPriority w:val="99"/>
    <w:semiHidden/>
    <w:unhideWhenUsed/>
    <w:rsid w:val="00AC7627"/>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AC7627"/>
    <w:rPr>
      <w:rFonts w:ascii="Times New Roman" w:hAnsi="Times New Roman" w:cs="Times New Roman"/>
      <w:sz w:val="18"/>
      <w:szCs w:val="18"/>
    </w:rPr>
  </w:style>
  <w:style w:type="paragraph" w:styleId="Revisjon">
    <w:name w:val="Revision"/>
    <w:hidden/>
    <w:uiPriority w:val="99"/>
    <w:semiHidden/>
    <w:rsid w:val="001234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6779B4"/>
    <w:pPr>
      <w:tabs>
        <w:tab w:val="center" w:pos="4536"/>
        <w:tab w:val="right" w:pos="9072"/>
      </w:tabs>
    </w:pPr>
  </w:style>
  <w:style w:type="character" w:customStyle="1" w:styleId="BunntekstTegn">
    <w:name w:val="Bunntekst Tegn"/>
    <w:basedOn w:val="Standardskriftforavsnitt"/>
    <w:link w:val="Bunntekst"/>
    <w:uiPriority w:val="99"/>
    <w:rsid w:val="006779B4"/>
  </w:style>
  <w:style w:type="character" w:styleId="Sidetall">
    <w:name w:val="page number"/>
    <w:basedOn w:val="Standardskriftforavsnitt"/>
    <w:uiPriority w:val="99"/>
    <w:semiHidden/>
    <w:unhideWhenUsed/>
    <w:rsid w:val="006779B4"/>
  </w:style>
  <w:style w:type="character" w:styleId="Merknadsreferanse">
    <w:name w:val="annotation reference"/>
    <w:basedOn w:val="Standardskriftforavsnitt"/>
    <w:uiPriority w:val="99"/>
    <w:semiHidden/>
    <w:unhideWhenUsed/>
    <w:rsid w:val="00AC7627"/>
    <w:rPr>
      <w:sz w:val="16"/>
      <w:szCs w:val="16"/>
    </w:rPr>
  </w:style>
  <w:style w:type="paragraph" w:styleId="Merknadstekst">
    <w:name w:val="annotation text"/>
    <w:basedOn w:val="Normal"/>
    <w:link w:val="MerknadstekstTegn"/>
    <w:uiPriority w:val="99"/>
    <w:semiHidden/>
    <w:unhideWhenUsed/>
    <w:rsid w:val="00AC7627"/>
    <w:rPr>
      <w:sz w:val="20"/>
      <w:szCs w:val="20"/>
    </w:rPr>
  </w:style>
  <w:style w:type="character" w:customStyle="1" w:styleId="MerknadstekstTegn">
    <w:name w:val="Merknadstekst Tegn"/>
    <w:basedOn w:val="Standardskriftforavsnitt"/>
    <w:link w:val="Merknadstekst"/>
    <w:uiPriority w:val="99"/>
    <w:semiHidden/>
    <w:rsid w:val="00AC7627"/>
    <w:rPr>
      <w:sz w:val="20"/>
      <w:szCs w:val="20"/>
    </w:rPr>
  </w:style>
  <w:style w:type="paragraph" w:styleId="Kommentaremne">
    <w:name w:val="annotation subject"/>
    <w:basedOn w:val="Merknadstekst"/>
    <w:next w:val="Merknadstekst"/>
    <w:link w:val="KommentaremneTegn"/>
    <w:uiPriority w:val="99"/>
    <w:semiHidden/>
    <w:unhideWhenUsed/>
    <w:rsid w:val="00AC7627"/>
    <w:rPr>
      <w:b/>
      <w:bCs/>
    </w:rPr>
  </w:style>
  <w:style w:type="character" w:customStyle="1" w:styleId="KommentaremneTegn">
    <w:name w:val="Kommentaremne Tegn"/>
    <w:basedOn w:val="MerknadstekstTegn"/>
    <w:link w:val="Kommentaremne"/>
    <w:uiPriority w:val="99"/>
    <w:semiHidden/>
    <w:rsid w:val="00AC7627"/>
    <w:rPr>
      <w:b/>
      <w:bCs/>
      <w:sz w:val="20"/>
      <w:szCs w:val="20"/>
    </w:rPr>
  </w:style>
  <w:style w:type="paragraph" w:styleId="Bobletekst">
    <w:name w:val="Balloon Text"/>
    <w:basedOn w:val="Normal"/>
    <w:link w:val="BobletekstTegn"/>
    <w:uiPriority w:val="99"/>
    <w:semiHidden/>
    <w:unhideWhenUsed/>
    <w:rsid w:val="00AC7627"/>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AC7627"/>
    <w:rPr>
      <w:rFonts w:ascii="Times New Roman" w:hAnsi="Times New Roman" w:cs="Times New Roman"/>
      <w:sz w:val="18"/>
      <w:szCs w:val="18"/>
    </w:rPr>
  </w:style>
  <w:style w:type="paragraph" w:styleId="Revisjon">
    <w:name w:val="Revision"/>
    <w:hidden/>
    <w:uiPriority w:val="99"/>
    <w:semiHidden/>
    <w:rsid w:val="00123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1708</Words>
  <Characters>9056</Characters>
  <Application>Microsoft Macintosh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Lars Sætre</cp:lastModifiedBy>
  <cp:revision>23</cp:revision>
  <dcterms:created xsi:type="dcterms:W3CDTF">2018-03-01T19:11:00Z</dcterms:created>
  <dcterms:modified xsi:type="dcterms:W3CDTF">2018-03-09T14:13:00Z</dcterms:modified>
</cp:coreProperties>
</file>