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F8581" w14:textId="314AE143" w:rsidR="0007435E" w:rsidRDefault="009D3AFC" w:rsidP="00995952">
      <w:pPr>
        <w:rPr>
          <w:lang w:val="en-GB"/>
        </w:rPr>
      </w:pPr>
      <w:r>
        <w:rPr>
          <w:lang w:val="en-GB"/>
        </w:rPr>
        <w:t>TBLR/</w:t>
      </w:r>
      <w:r w:rsidR="0007435E" w:rsidRPr="0007435E">
        <w:rPr>
          <w:lang w:val="en-GB"/>
        </w:rPr>
        <w:t xml:space="preserve">ESSCS </w:t>
      </w:r>
      <w:r w:rsidR="00F72841">
        <w:rPr>
          <w:lang w:val="en-GB"/>
        </w:rPr>
        <w:t>A</w:t>
      </w:r>
      <w:r w:rsidR="00161635">
        <w:rPr>
          <w:lang w:val="en-GB"/>
        </w:rPr>
        <w:t>ugust</w:t>
      </w:r>
      <w:r w:rsidR="00F72841">
        <w:rPr>
          <w:lang w:val="en-GB"/>
        </w:rPr>
        <w:t xml:space="preserve"> 14</w:t>
      </w:r>
      <w:r w:rsidR="00161635">
        <w:rPr>
          <w:lang w:val="en-GB"/>
        </w:rPr>
        <w:t>th</w:t>
      </w:r>
      <w:r w:rsidR="00F72841">
        <w:rPr>
          <w:lang w:val="en-GB"/>
        </w:rPr>
        <w:t>-18</w:t>
      </w:r>
      <w:r w:rsidR="00161635">
        <w:rPr>
          <w:lang w:val="en-GB"/>
        </w:rPr>
        <w:t>th</w:t>
      </w:r>
      <w:r w:rsidR="0007435E">
        <w:rPr>
          <w:lang w:val="en-GB"/>
        </w:rPr>
        <w:t xml:space="preserve"> </w:t>
      </w:r>
      <w:r w:rsidR="0007435E" w:rsidRPr="0007435E">
        <w:rPr>
          <w:lang w:val="en-GB"/>
        </w:rPr>
        <w:t xml:space="preserve">2017 – </w:t>
      </w:r>
      <w:r w:rsidR="00F72841">
        <w:rPr>
          <w:lang w:val="en-GB"/>
        </w:rPr>
        <w:t>BERGEN</w:t>
      </w:r>
      <w:r w:rsidR="00842E2E">
        <w:rPr>
          <w:lang w:val="en-GB"/>
        </w:rPr>
        <w:t>, NORWAY</w:t>
      </w:r>
      <w:r w:rsidR="00E12ADE">
        <w:rPr>
          <w:lang w:val="en-GB"/>
        </w:rPr>
        <w:tab/>
      </w:r>
      <w:r w:rsidR="00E12ADE">
        <w:rPr>
          <w:lang w:val="en-GB"/>
        </w:rPr>
        <w:tab/>
      </w:r>
      <w:r w:rsidR="00E12ADE" w:rsidRPr="00E12ADE">
        <w:rPr>
          <w:color w:val="FF0000"/>
          <w:sz w:val="20"/>
          <w:lang w:val="en-GB"/>
        </w:rPr>
        <w:t>Pr 1</w:t>
      </w:r>
      <w:r w:rsidR="007030D9">
        <w:rPr>
          <w:color w:val="FF0000"/>
          <w:sz w:val="20"/>
          <w:lang w:val="en-GB"/>
        </w:rPr>
        <w:t>3</w:t>
      </w:r>
      <w:r w:rsidR="00E12ADE" w:rsidRPr="00E12ADE">
        <w:rPr>
          <w:color w:val="FF0000"/>
          <w:sz w:val="20"/>
          <w:vertAlign w:val="superscript"/>
          <w:lang w:val="en-GB"/>
        </w:rPr>
        <w:t>th</w:t>
      </w:r>
      <w:r w:rsidR="00E12ADE" w:rsidRPr="00E12ADE">
        <w:rPr>
          <w:color w:val="FF0000"/>
          <w:sz w:val="20"/>
          <w:lang w:val="en-GB"/>
        </w:rPr>
        <w:t xml:space="preserve"> May 2017</w:t>
      </w:r>
    </w:p>
    <w:p w14:paraId="6154870E" w14:textId="0B222994" w:rsidR="00842E2E" w:rsidRPr="0007435E" w:rsidRDefault="00842E2E" w:rsidP="00995952">
      <w:pPr>
        <w:rPr>
          <w:lang w:val="en-GB"/>
        </w:rPr>
      </w:pPr>
      <w:r>
        <w:rPr>
          <w:lang w:val="en-GB"/>
        </w:rPr>
        <w:t>PhD-researcher training co</w:t>
      </w:r>
      <w:r w:rsidR="00940A12">
        <w:rPr>
          <w:lang w:val="en-GB"/>
        </w:rPr>
        <w:t>u</w:t>
      </w:r>
      <w:r>
        <w:rPr>
          <w:lang w:val="en-GB"/>
        </w:rPr>
        <w:t>rse (summer school):</w:t>
      </w:r>
    </w:p>
    <w:p w14:paraId="1AA38135" w14:textId="77777777" w:rsidR="0007435E" w:rsidRPr="00161635" w:rsidRDefault="0007435E" w:rsidP="00995952">
      <w:pPr>
        <w:rPr>
          <w:lang w:val="en-GB"/>
        </w:rPr>
      </w:pPr>
    </w:p>
    <w:p w14:paraId="0DA07D63" w14:textId="4AA97025" w:rsidR="0007435E" w:rsidRPr="002B5B0B" w:rsidRDefault="00F976E4" w:rsidP="00995952">
      <w:pPr>
        <w:rPr>
          <w:color w:val="FF0000"/>
          <w:sz w:val="28"/>
          <w:szCs w:val="28"/>
          <w:lang w:val="en-GB"/>
        </w:rPr>
      </w:pPr>
      <w:r w:rsidRPr="00344631">
        <w:rPr>
          <w:b/>
          <w:color w:val="FF0000"/>
          <w:sz w:val="28"/>
          <w:szCs w:val="28"/>
          <w:lang w:val="en-GB"/>
        </w:rPr>
        <w:t>“</w:t>
      </w:r>
      <w:r w:rsidR="0007435E" w:rsidRPr="00344631">
        <w:rPr>
          <w:b/>
          <w:color w:val="FF0000"/>
          <w:sz w:val="28"/>
          <w:szCs w:val="28"/>
          <w:lang w:val="en-GB"/>
        </w:rPr>
        <w:t>LIVING TOGETHER</w:t>
      </w:r>
      <w:r w:rsidRPr="00344631">
        <w:rPr>
          <w:b/>
          <w:color w:val="FF0000"/>
          <w:sz w:val="28"/>
          <w:szCs w:val="28"/>
          <w:lang w:val="en-GB"/>
        </w:rPr>
        <w:t>”</w:t>
      </w:r>
      <w:r w:rsidR="002B5B0B" w:rsidRPr="002B5B0B">
        <w:t xml:space="preserve"> </w:t>
      </w:r>
      <w:r w:rsidR="002B5B0B">
        <w:tab/>
      </w:r>
      <w:r w:rsidR="002B5B0B">
        <w:tab/>
      </w:r>
      <w:r w:rsidR="002B5B0B">
        <w:tab/>
      </w:r>
      <w:r w:rsidR="002B5B0B" w:rsidRPr="002B5B0B">
        <w:rPr>
          <w:sz w:val="20"/>
        </w:rPr>
        <w:t xml:space="preserve">Website: </w:t>
      </w:r>
      <w:hyperlink r:id="rId7" w:history="1">
        <w:r w:rsidR="002B5B0B" w:rsidRPr="002B5B0B">
          <w:rPr>
            <w:rStyle w:val="Hyperkobling"/>
            <w:color w:val="auto"/>
            <w:sz w:val="20"/>
            <w:lang w:val="en-GB"/>
          </w:rPr>
          <w:t>http://www.folk.uib.no/hlils/te17/</w:t>
        </w:r>
      </w:hyperlink>
    </w:p>
    <w:p w14:paraId="7180B07D" w14:textId="77777777" w:rsidR="0007435E" w:rsidRPr="00CB49E3" w:rsidRDefault="0007435E" w:rsidP="00995952">
      <w:pPr>
        <w:rPr>
          <w:lang w:val="en-GB"/>
        </w:rPr>
      </w:pPr>
    </w:p>
    <w:p w14:paraId="51226907" w14:textId="62CCDCCD" w:rsidR="00E27A6F" w:rsidRDefault="00276501" w:rsidP="00995952">
      <w:pPr>
        <w:widowControl w:val="0"/>
        <w:autoSpaceDE w:val="0"/>
        <w:autoSpaceDN w:val="0"/>
        <w:adjustRightInd w:val="0"/>
      </w:pPr>
      <w:r>
        <w:t>”Living Together” is the joint venture of the European Summer School in Cultural Studies (ESSCS) and of the Norwegian nationwide researcher-training school TBLR (Tekst Bilde Lyd Rom = Text Image Sound Space)</w:t>
      </w:r>
      <w:r w:rsidR="007F4CAE">
        <w:t>,</w:t>
      </w:r>
      <w:r>
        <w:t xml:space="preserve"> in Bergen, August 14th-18th, 2017.</w:t>
      </w:r>
      <w:r w:rsidR="00480374">
        <w:t xml:space="preserve"> </w:t>
      </w:r>
      <w:r w:rsidR="002F6C08">
        <w:t>While not an</w:t>
      </w:r>
      <w:r w:rsidR="003E45BC">
        <w:t xml:space="preserve"> organiser, yet </w:t>
      </w:r>
      <w:r w:rsidR="002F6C08">
        <w:t>pivota</w:t>
      </w:r>
      <w:r w:rsidR="00216ACA">
        <w:t>l as an adviso</w:t>
      </w:r>
      <w:r w:rsidR="002F6C08">
        <w:t>ry</w:t>
      </w:r>
      <w:r w:rsidR="00216ACA">
        <w:t xml:space="preserve"> and cooperative space for thought, the Living Together Research Group at the University of Oslo</w:t>
      </w:r>
      <w:r w:rsidR="00BB154F">
        <w:t xml:space="preserve"> (UiO)</w:t>
      </w:r>
      <w:r w:rsidR="002F6C08">
        <w:t xml:space="preserve"> </w:t>
      </w:r>
      <w:r w:rsidR="00216ACA">
        <w:t xml:space="preserve">is also an event </w:t>
      </w:r>
      <w:r w:rsidR="003E45BC">
        <w:t>contributor</w:t>
      </w:r>
      <w:r w:rsidR="00216ACA">
        <w:t>,</w:t>
      </w:r>
      <w:r w:rsidR="003E45BC">
        <w:t xml:space="preserve"> whose </w:t>
      </w:r>
      <w:r w:rsidR="00BB154F">
        <w:t xml:space="preserve">inventiveness, </w:t>
      </w:r>
      <w:r w:rsidR="003E45BC">
        <w:t xml:space="preserve">scholarly generosity, </w:t>
      </w:r>
      <w:r w:rsidR="00BB154F">
        <w:t xml:space="preserve">input, and productive </w:t>
      </w:r>
      <w:r w:rsidR="003E45BC">
        <w:t xml:space="preserve">feedback </w:t>
      </w:r>
      <w:r w:rsidR="00216ACA">
        <w:t xml:space="preserve">the TBLR/ESSCS </w:t>
      </w:r>
      <w:r w:rsidR="003E45BC">
        <w:t>could not have done without</w:t>
      </w:r>
      <w:r w:rsidR="00216ACA">
        <w:t>.</w:t>
      </w:r>
      <w:r w:rsidR="003E45BC">
        <w:t xml:space="preserve"> </w:t>
      </w:r>
      <w:r w:rsidR="00480374">
        <w:t>(See also ”B</w:t>
      </w:r>
      <w:r w:rsidR="009F45BA">
        <w:t>ackground” in our website’s top</w:t>
      </w:r>
      <w:r w:rsidR="00480374">
        <w:t>bar.)</w:t>
      </w:r>
      <w:r>
        <w:t xml:space="preserve"> </w:t>
      </w:r>
      <w:r w:rsidR="00216ACA">
        <w:t xml:space="preserve">– </w:t>
      </w:r>
      <w:r>
        <w:t>The TBLR has seven member universities</w:t>
      </w:r>
      <w:r w:rsidR="008E08E6">
        <w:t>, and is since the turn of the m</w:t>
      </w:r>
      <w:r>
        <w:t>illenium Norway’s largest nationally networking PhD researcher-training school within literary, ae</w:t>
      </w:r>
      <w:r w:rsidR="00082B8E">
        <w:t xml:space="preserve">sthetic and cultural studies. </w:t>
      </w:r>
      <w:r>
        <w:t xml:space="preserve">The ESSCS is a </w:t>
      </w:r>
      <w:r w:rsidRPr="001D526A">
        <w:rPr>
          <w:szCs w:val="24"/>
          <w:lang w:val="en-US"/>
        </w:rPr>
        <w:t>network-base</w:t>
      </w:r>
      <w:r>
        <w:rPr>
          <w:lang w:val="en-US"/>
        </w:rPr>
        <w:t>d seminar for interdisciplinary-</w:t>
      </w:r>
      <w:r w:rsidRPr="001D526A">
        <w:rPr>
          <w:szCs w:val="24"/>
          <w:lang w:val="en-US"/>
        </w:rPr>
        <w:t>research training in the fields of art and culture</w:t>
      </w:r>
      <w:r>
        <w:rPr>
          <w:lang w:val="en-US"/>
        </w:rPr>
        <w:t>, and it consists of eight European university partners.</w:t>
      </w:r>
    </w:p>
    <w:p w14:paraId="75443DB0" w14:textId="77777777" w:rsidR="00917843" w:rsidRDefault="00917843" w:rsidP="00917843">
      <w:pPr>
        <w:widowControl w:val="0"/>
        <w:autoSpaceDE w:val="0"/>
        <w:autoSpaceDN w:val="0"/>
        <w:adjustRightInd w:val="0"/>
      </w:pPr>
    </w:p>
    <w:p w14:paraId="1F1E31F6" w14:textId="6CB3BC49" w:rsidR="002D5045" w:rsidRDefault="00276501" w:rsidP="00917843">
      <w:pPr>
        <w:widowControl w:val="0"/>
        <w:autoSpaceDE w:val="0"/>
        <w:autoSpaceDN w:val="0"/>
        <w:adjustRightInd w:val="0"/>
      </w:pPr>
      <w:r>
        <w:t>14th through 18th of August</w:t>
      </w:r>
      <w:r w:rsidR="00AF634A">
        <w:t xml:space="preserve"> 2017</w:t>
      </w:r>
      <w:r>
        <w:t>, ESSCS and TBLR’s tandem efforts aim for a truly international inter-aesthetic and cultural-study event for PhD students, keynotes and participating faculty. Venue is Bergen: Norway’s second largest city, founded in 1070. Bergen is a beautiful city, internationally connected, bustling with life, trade and culture, and centuries of living together. It is situated on the West Coast with its amazing archipelago towards the North Sea, and it is at the same time the gateway to the fjords.</w:t>
      </w:r>
    </w:p>
    <w:p w14:paraId="62558EF6" w14:textId="77777777" w:rsidR="007460CB" w:rsidRDefault="007460CB" w:rsidP="00917843">
      <w:pPr>
        <w:widowControl w:val="0"/>
        <w:autoSpaceDE w:val="0"/>
        <w:autoSpaceDN w:val="0"/>
        <w:adjustRightInd w:val="0"/>
      </w:pPr>
    </w:p>
    <w:p w14:paraId="075A5C1F" w14:textId="76BFFB67" w:rsidR="007460CB" w:rsidRDefault="00156FD2" w:rsidP="00917843">
      <w:pPr>
        <w:widowControl w:val="0"/>
        <w:autoSpaceDE w:val="0"/>
        <w:autoSpaceDN w:val="0"/>
        <w:adjustRightInd w:val="0"/>
      </w:pPr>
      <w:r>
        <w:t>Under the heading ”Living Together”, t</w:t>
      </w:r>
      <w:r w:rsidR="007460CB">
        <w:t>his Call for Papers is anchored</w:t>
      </w:r>
      <w:r>
        <w:t xml:space="preserve"> broadly</w:t>
      </w:r>
      <w:r w:rsidR="007460CB">
        <w:t xml:space="preserve"> in some of the work of </w:t>
      </w:r>
      <w:r w:rsidR="007460CB" w:rsidRPr="007223B1">
        <w:rPr>
          <w:i/>
        </w:rPr>
        <w:t>Roland Barthes</w:t>
      </w:r>
      <w:r w:rsidR="007460CB">
        <w:t xml:space="preserve">, </w:t>
      </w:r>
      <w:r w:rsidR="007460CB" w:rsidRPr="007223B1">
        <w:rPr>
          <w:i/>
        </w:rPr>
        <w:t>Giorgio Agamben</w:t>
      </w:r>
      <w:r w:rsidR="007460CB">
        <w:t xml:space="preserve"> and </w:t>
      </w:r>
      <w:r w:rsidR="007460CB" w:rsidRPr="007223B1">
        <w:rPr>
          <w:i/>
        </w:rPr>
        <w:t>Jac</w:t>
      </w:r>
      <w:r w:rsidR="002B4809" w:rsidRPr="007223B1">
        <w:rPr>
          <w:i/>
        </w:rPr>
        <w:t>ques Derrida</w:t>
      </w:r>
      <w:r w:rsidR="002B4809">
        <w:t>. You are cordially invited to apply for participation with papers bearing some relation to the fo</w:t>
      </w:r>
      <w:r w:rsidR="000E14ED">
        <w:t xml:space="preserve">llowing wide plethora of topics. (On PhD student-paper topics, </w:t>
      </w:r>
      <w:r w:rsidR="00C24432">
        <w:t xml:space="preserve">however, </w:t>
      </w:r>
      <w:r w:rsidR="000E14ED">
        <w:t>see</w:t>
      </w:r>
      <w:r w:rsidR="00277AC0">
        <w:t xml:space="preserve"> also</w:t>
      </w:r>
      <w:r w:rsidR="000E14ED">
        <w:t xml:space="preserve"> further</w:t>
      </w:r>
      <w:r w:rsidR="008D298E">
        <w:t xml:space="preserve"> </w:t>
      </w:r>
      <w:r w:rsidR="009113DB">
        <w:t xml:space="preserve">specifics </w:t>
      </w:r>
      <w:r w:rsidR="008D298E">
        <w:t>under ”Practical details” below.)</w:t>
      </w:r>
    </w:p>
    <w:p w14:paraId="414F1538" w14:textId="77777777" w:rsidR="002D5045" w:rsidRDefault="002D5045" w:rsidP="002D5045">
      <w:pPr>
        <w:widowControl w:val="0"/>
        <w:autoSpaceDE w:val="0"/>
        <w:autoSpaceDN w:val="0"/>
        <w:adjustRightInd w:val="0"/>
      </w:pPr>
    </w:p>
    <w:p w14:paraId="11EDCD94" w14:textId="77777777" w:rsidR="002D5045" w:rsidRDefault="002D5045" w:rsidP="002D5045">
      <w:pPr>
        <w:widowControl w:val="0"/>
        <w:autoSpaceDE w:val="0"/>
        <w:autoSpaceDN w:val="0"/>
        <w:adjustRightInd w:val="0"/>
        <w:rPr>
          <w:b/>
        </w:rPr>
      </w:pPr>
      <w:r w:rsidRPr="002D5045">
        <w:rPr>
          <w:b/>
        </w:rPr>
        <w:t>Roland Barthes:</w:t>
      </w:r>
    </w:p>
    <w:p w14:paraId="08A5F931" w14:textId="77777777" w:rsidR="007460CB" w:rsidRPr="002D5045" w:rsidRDefault="007460CB" w:rsidP="002D5045">
      <w:pPr>
        <w:widowControl w:val="0"/>
        <w:autoSpaceDE w:val="0"/>
        <w:autoSpaceDN w:val="0"/>
        <w:adjustRightInd w:val="0"/>
        <w:rPr>
          <w:b/>
        </w:rPr>
      </w:pPr>
    </w:p>
    <w:p w14:paraId="44623C5B" w14:textId="0D1D13C6" w:rsidR="00FF234D" w:rsidRPr="00FF234D" w:rsidRDefault="001B0A51" w:rsidP="002D5045">
      <w:pPr>
        <w:widowControl w:val="0"/>
        <w:autoSpaceDE w:val="0"/>
        <w:autoSpaceDN w:val="0"/>
        <w:adjustRightInd w:val="0"/>
        <w:rPr>
          <w:lang w:val="en-GB"/>
        </w:rPr>
      </w:pPr>
      <w:r w:rsidRPr="004017BE">
        <w:rPr>
          <w:szCs w:val="24"/>
          <w:lang w:val="en-GB"/>
        </w:rPr>
        <w:t xml:space="preserve">Originally, Roland Barthes </w:t>
      </w:r>
      <w:r w:rsidR="00267464" w:rsidRPr="004017BE">
        <w:rPr>
          <w:szCs w:val="24"/>
          <w:lang w:val="en-GB"/>
        </w:rPr>
        <w:t>gave</w:t>
      </w:r>
      <w:r w:rsidRPr="004017BE">
        <w:rPr>
          <w:szCs w:val="24"/>
          <w:lang w:val="en-GB"/>
        </w:rPr>
        <w:t xml:space="preserve"> “</w:t>
      </w:r>
      <w:r w:rsidR="00161635" w:rsidRPr="004017BE">
        <w:rPr>
          <w:szCs w:val="24"/>
          <w:lang w:val="en-GB"/>
        </w:rPr>
        <w:t xml:space="preserve">Comment vivre ensemble? </w:t>
      </w:r>
      <w:r w:rsidR="00161635" w:rsidRPr="004017BE">
        <w:rPr>
          <w:szCs w:val="24"/>
          <w:lang w:val="en-GB"/>
        </w:rPr>
        <w:softHyphen/>
      </w:r>
      <w:r w:rsidRPr="004017BE">
        <w:rPr>
          <w:szCs w:val="24"/>
          <w:lang w:val="en-GB"/>
        </w:rPr>
        <w:t xml:space="preserve">Sur l’idiorrythmie” as a Cours </w:t>
      </w:r>
      <w:r w:rsidR="004017BE" w:rsidRPr="004017BE">
        <w:rPr>
          <w:szCs w:val="24"/>
          <w:lang w:val="en-GB"/>
        </w:rPr>
        <w:t xml:space="preserve">and </w:t>
      </w:r>
      <w:r w:rsidR="004017BE" w:rsidRPr="004017BE">
        <w:rPr>
          <w:szCs w:val="24"/>
        </w:rPr>
        <w:t>Séminaires</w:t>
      </w:r>
      <w:r w:rsidR="004017BE" w:rsidRPr="004017BE">
        <w:rPr>
          <w:szCs w:val="24"/>
          <w:lang w:val="en-GB"/>
        </w:rPr>
        <w:t xml:space="preserve"> </w:t>
      </w:r>
      <w:r w:rsidRPr="004017BE">
        <w:rPr>
          <w:szCs w:val="24"/>
          <w:lang w:val="en-GB"/>
        </w:rPr>
        <w:t xml:space="preserve">at Collège de France </w:t>
      </w:r>
      <w:r w:rsidR="004017BE" w:rsidRPr="004017BE">
        <w:rPr>
          <w:szCs w:val="24"/>
          <w:lang w:val="en-GB"/>
        </w:rPr>
        <w:t>1976–</w:t>
      </w:r>
      <w:r w:rsidRPr="004017BE">
        <w:rPr>
          <w:szCs w:val="24"/>
          <w:lang w:val="en-GB"/>
        </w:rPr>
        <w:t>1977.</w:t>
      </w:r>
      <w:r w:rsidR="00122E19" w:rsidRPr="004017BE">
        <w:rPr>
          <w:szCs w:val="24"/>
          <w:lang w:val="en-GB"/>
        </w:rPr>
        <w:t xml:space="preserve"> </w:t>
      </w:r>
      <w:r w:rsidR="00083C74" w:rsidRPr="004017BE">
        <w:rPr>
          <w:szCs w:val="24"/>
          <w:lang w:val="en-GB"/>
        </w:rPr>
        <w:t>T</w:t>
      </w:r>
      <w:r w:rsidR="0007435E" w:rsidRPr="004017BE">
        <w:rPr>
          <w:szCs w:val="24"/>
          <w:lang w:val="en-GB"/>
        </w:rPr>
        <w:t xml:space="preserve">he </w:t>
      </w:r>
      <w:r w:rsidR="0007435E" w:rsidRPr="004017BE">
        <w:rPr>
          <w:i/>
          <w:szCs w:val="24"/>
          <w:lang w:val="en-GB"/>
        </w:rPr>
        <w:t>Comment vivre ensemble</w:t>
      </w:r>
      <w:r w:rsidR="004017BE">
        <w:rPr>
          <w:i/>
          <w:szCs w:val="24"/>
          <w:lang w:val="en-GB"/>
        </w:rPr>
        <w:t xml:space="preserve">. </w:t>
      </w:r>
      <w:r w:rsidR="004017BE" w:rsidRPr="004017BE">
        <w:rPr>
          <w:i/>
          <w:szCs w:val="24"/>
        </w:rPr>
        <w:t>Simulations romanesques de quelques espaces quotidiens</w:t>
      </w:r>
      <w:r w:rsidR="0007435E" w:rsidRPr="004017BE">
        <w:rPr>
          <w:szCs w:val="24"/>
          <w:lang w:val="en-GB"/>
        </w:rPr>
        <w:t xml:space="preserve"> manuscripts</w:t>
      </w:r>
      <w:r w:rsidR="004C69E3" w:rsidRPr="004017BE">
        <w:rPr>
          <w:szCs w:val="24"/>
          <w:lang w:val="en-GB"/>
        </w:rPr>
        <w:t xml:space="preserve"> (</w:t>
      </w:r>
      <w:r w:rsidR="00083C74" w:rsidRPr="004017BE">
        <w:rPr>
          <w:szCs w:val="24"/>
          <w:lang w:val="en-GB"/>
        </w:rPr>
        <w:t>Paris: Seuil, 2002)</w:t>
      </w:r>
      <w:r w:rsidR="00FF234D" w:rsidRPr="004017BE">
        <w:rPr>
          <w:szCs w:val="24"/>
          <w:lang w:val="en-GB"/>
        </w:rPr>
        <w:t xml:space="preserve"> were </w:t>
      </w:r>
      <w:r w:rsidR="004C69E3" w:rsidRPr="004017BE">
        <w:rPr>
          <w:szCs w:val="24"/>
          <w:lang w:val="en-GB"/>
        </w:rPr>
        <w:t xml:space="preserve">published in English as </w:t>
      </w:r>
      <w:r w:rsidR="004C69E3" w:rsidRPr="004017BE">
        <w:rPr>
          <w:i/>
          <w:szCs w:val="24"/>
          <w:lang w:val="en-GB"/>
        </w:rPr>
        <w:t>How To Live Together: Novelistic Simulations of Some Everyday Spaces</w:t>
      </w:r>
      <w:r w:rsidR="00FF234D" w:rsidRPr="004017BE">
        <w:rPr>
          <w:szCs w:val="24"/>
          <w:lang w:val="en-GB"/>
        </w:rPr>
        <w:t xml:space="preserve"> in </w:t>
      </w:r>
      <w:r w:rsidR="00A14EDC" w:rsidRPr="004017BE">
        <w:rPr>
          <w:szCs w:val="24"/>
          <w:lang w:val="en-GB"/>
        </w:rPr>
        <w:t>2013</w:t>
      </w:r>
      <w:r w:rsidR="00FF234D" w:rsidRPr="004017BE">
        <w:rPr>
          <w:szCs w:val="24"/>
          <w:lang w:val="en-GB"/>
        </w:rPr>
        <w:t>. In his work, ‘Bar</w:t>
      </w:r>
      <w:r w:rsidR="00C77EC4" w:rsidRPr="004017BE">
        <w:rPr>
          <w:szCs w:val="24"/>
          <w:lang w:val="en-GB"/>
        </w:rPr>
        <w:t>thes focuses on the concept of “idiorrhythmy”,</w:t>
      </w:r>
      <w:r w:rsidR="00FF234D" w:rsidRPr="004017BE">
        <w:rPr>
          <w:szCs w:val="24"/>
          <w:lang w:val="en-GB"/>
        </w:rPr>
        <w:t xml:space="preserve"> a productive form of living together in which</w:t>
      </w:r>
      <w:r w:rsidR="00FF234D" w:rsidRPr="00FF234D">
        <w:rPr>
          <w:lang w:val="en-GB"/>
        </w:rPr>
        <w:t xml:space="preserve"> one recognizes and respects the individual rhythms of the other. He explores this phenomenon through five texts that represent different living spaces and their asso</w:t>
      </w:r>
      <w:r w:rsidR="00FF234D">
        <w:rPr>
          <w:lang w:val="en-GB"/>
        </w:rPr>
        <w:t>ciated ways of life: Émile Zola’</w:t>
      </w:r>
      <w:r w:rsidR="00FF234D" w:rsidRPr="00FF234D">
        <w:rPr>
          <w:lang w:val="en-GB"/>
        </w:rPr>
        <w:t xml:space="preserve">s </w:t>
      </w:r>
      <w:r w:rsidR="00FF234D" w:rsidRPr="00FF234D">
        <w:rPr>
          <w:i/>
          <w:lang w:val="en-GB"/>
        </w:rPr>
        <w:t>Pot-Bouille</w:t>
      </w:r>
      <w:r w:rsidR="00C77EC4">
        <w:rPr>
          <w:lang w:val="en-GB"/>
        </w:rPr>
        <w:t xml:space="preserve"> [</w:t>
      </w:r>
      <w:r w:rsidR="00C77EC4" w:rsidRPr="004017BE">
        <w:rPr>
          <w:i/>
          <w:lang w:val="en-GB"/>
        </w:rPr>
        <w:t>Pot Luck</w:t>
      </w:r>
      <w:r w:rsidR="00C77EC4">
        <w:rPr>
          <w:lang w:val="en-GB"/>
        </w:rPr>
        <w:t>]</w:t>
      </w:r>
      <w:r w:rsidR="00FF234D" w:rsidRPr="00FF234D">
        <w:rPr>
          <w:lang w:val="en-GB"/>
        </w:rPr>
        <w:t>, set in a Parisian apartment building [l’i</w:t>
      </w:r>
      <w:r w:rsidR="00FF234D">
        <w:rPr>
          <w:lang w:val="en-GB"/>
        </w:rPr>
        <w:t>mmeuble bourgeois]; Thomas Mann’</w:t>
      </w:r>
      <w:r w:rsidR="00FF234D" w:rsidRPr="00FF234D">
        <w:rPr>
          <w:lang w:val="en-GB"/>
        </w:rPr>
        <w:t xml:space="preserve">s </w:t>
      </w:r>
      <w:r w:rsidR="00FF234D" w:rsidRPr="00FF234D">
        <w:rPr>
          <w:i/>
          <w:lang w:val="en-GB"/>
        </w:rPr>
        <w:t>The Magic Mountain</w:t>
      </w:r>
      <w:r w:rsidR="00FF234D" w:rsidRPr="00FF234D">
        <w:rPr>
          <w:lang w:val="en-GB"/>
        </w:rPr>
        <w:t>, whi</w:t>
      </w:r>
      <w:r w:rsidR="00FF234D">
        <w:rPr>
          <w:lang w:val="en-GB"/>
        </w:rPr>
        <w:t>ch takes place in a sanatorium [</w:t>
      </w:r>
      <w:r w:rsidR="00FF234D" w:rsidRPr="00FF234D">
        <w:rPr>
          <w:lang w:val="en-GB"/>
        </w:rPr>
        <w:t>le grand</w:t>
      </w:r>
      <w:r w:rsidR="00FF234D">
        <w:rPr>
          <w:lang w:val="en-GB"/>
        </w:rPr>
        <w:t xml:space="preserve"> hôtel]; André Gide’</w:t>
      </w:r>
      <w:r w:rsidR="00FF234D" w:rsidRPr="00FF234D">
        <w:rPr>
          <w:lang w:val="en-GB"/>
        </w:rPr>
        <w:t>s “La Séquestrée de Poitiers”</w:t>
      </w:r>
      <w:r w:rsidR="00FF234D">
        <w:rPr>
          <w:lang w:val="en-GB"/>
        </w:rPr>
        <w:t xml:space="preserve"> [</w:t>
      </w:r>
      <w:r w:rsidR="00FF234D" w:rsidRPr="002D5045">
        <w:rPr>
          <w:lang w:val="en-GB"/>
        </w:rPr>
        <w:t>“Th</w:t>
      </w:r>
      <w:r w:rsidR="00FF234D">
        <w:rPr>
          <w:lang w:val="en-GB"/>
        </w:rPr>
        <w:t>e Confined Woman of Poitiers”]</w:t>
      </w:r>
      <w:r w:rsidR="00FF234D" w:rsidRPr="00FF234D">
        <w:rPr>
          <w:lang w:val="en-GB"/>
        </w:rPr>
        <w:t>, based on the true story of a woman confined to her bedroom [la c</w:t>
      </w:r>
      <w:r w:rsidR="00FF234D">
        <w:rPr>
          <w:lang w:val="en-GB"/>
        </w:rPr>
        <w:t>hambre solitaire]; Daniel Defoe’</w:t>
      </w:r>
      <w:r w:rsidR="00FF234D" w:rsidRPr="00FF234D">
        <w:rPr>
          <w:lang w:val="en-GB"/>
        </w:rPr>
        <w:t xml:space="preserve">s </w:t>
      </w:r>
      <w:r w:rsidR="00FF234D" w:rsidRPr="00FF234D">
        <w:rPr>
          <w:i/>
          <w:lang w:val="en-GB"/>
        </w:rPr>
        <w:t>Robinson Crusoe</w:t>
      </w:r>
      <w:r w:rsidR="00FF234D" w:rsidRPr="00FF234D">
        <w:rPr>
          <w:lang w:val="en-GB"/>
        </w:rPr>
        <w:t>, about a castaway on a remote island [le repaire; lai</w:t>
      </w:r>
      <w:r w:rsidR="00FF234D">
        <w:rPr>
          <w:lang w:val="en-GB"/>
        </w:rPr>
        <w:t xml:space="preserve">r; den; hideout], and </w:t>
      </w:r>
      <w:r w:rsidR="00FF234D">
        <w:rPr>
          <w:lang w:val="en-GB"/>
        </w:rPr>
        <w:lastRenderedPageBreak/>
        <w:t>Pallidius’</w:t>
      </w:r>
      <w:r w:rsidR="00FF234D" w:rsidRPr="00FF234D">
        <w:rPr>
          <w:lang w:val="en-GB"/>
        </w:rPr>
        <w:t xml:space="preserve">s </w:t>
      </w:r>
      <w:r w:rsidR="00FF234D" w:rsidRPr="00FF234D">
        <w:rPr>
          <w:i/>
          <w:lang w:val="en-GB"/>
        </w:rPr>
        <w:t>Lausiac History</w:t>
      </w:r>
      <w:r w:rsidR="00FF234D" w:rsidRPr="00FF234D">
        <w:rPr>
          <w:lang w:val="en-GB"/>
        </w:rPr>
        <w:t>, detailing the ascetic lives of</w:t>
      </w:r>
      <w:r w:rsidR="008C6226">
        <w:rPr>
          <w:lang w:val="en-GB"/>
        </w:rPr>
        <w:t xml:space="preserve"> the desert fathers [le désert]</w:t>
      </w:r>
      <w:r w:rsidR="00394786">
        <w:rPr>
          <w:lang w:val="en-GB"/>
        </w:rPr>
        <w:t>’ (</w:t>
      </w:r>
      <w:r w:rsidR="00FF234D" w:rsidRPr="00FF234D">
        <w:rPr>
          <w:lang w:val="en-GB"/>
        </w:rPr>
        <w:t>C</w:t>
      </w:r>
      <w:r w:rsidR="00394786">
        <w:rPr>
          <w:lang w:val="en-GB"/>
        </w:rPr>
        <w:t xml:space="preserve">olumbia </w:t>
      </w:r>
      <w:r w:rsidR="00FF234D" w:rsidRPr="00FF234D">
        <w:rPr>
          <w:lang w:val="en-GB"/>
        </w:rPr>
        <w:t>UP</w:t>
      </w:r>
      <w:r w:rsidR="00394786">
        <w:rPr>
          <w:lang w:val="en-GB"/>
        </w:rPr>
        <w:t>; brackets added).</w:t>
      </w:r>
    </w:p>
    <w:p w14:paraId="5BBDA715" w14:textId="77777777" w:rsidR="00FF234D" w:rsidRDefault="00FF234D" w:rsidP="002D5045">
      <w:pPr>
        <w:widowControl w:val="0"/>
        <w:autoSpaceDE w:val="0"/>
        <w:autoSpaceDN w:val="0"/>
        <w:adjustRightInd w:val="0"/>
        <w:rPr>
          <w:lang w:val="en-GB"/>
        </w:rPr>
      </w:pPr>
    </w:p>
    <w:p w14:paraId="70FFAA1C" w14:textId="5DC97FFC" w:rsidR="0007435E" w:rsidRPr="002D5045" w:rsidRDefault="008B328F" w:rsidP="002D5045">
      <w:pPr>
        <w:widowControl w:val="0"/>
        <w:autoSpaceDE w:val="0"/>
        <w:autoSpaceDN w:val="0"/>
        <w:adjustRightInd w:val="0"/>
        <w:rPr>
          <w:lang w:val="en-GB"/>
        </w:rPr>
      </w:pPr>
      <w:r>
        <w:rPr>
          <w:lang w:val="en-GB"/>
        </w:rPr>
        <w:t xml:space="preserve">For its purposes, and shared for the event with TBLR/ESSCS, the UiO’s </w:t>
      </w:r>
      <w:r>
        <w:t>Living Together Research Group</w:t>
      </w:r>
      <w:r>
        <w:rPr>
          <w:lang w:val="en-GB"/>
        </w:rPr>
        <w:t xml:space="preserve"> has </w:t>
      </w:r>
      <w:r w:rsidR="00443A2D">
        <w:rPr>
          <w:lang w:val="en-GB"/>
        </w:rPr>
        <w:t xml:space="preserve">developed and </w:t>
      </w:r>
      <w:r>
        <w:rPr>
          <w:lang w:val="en-GB"/>
        </w:rPr>
        <w:t xml:space="preserve">transformed </w:t>
      </w:r>
      <w:r w:rsidR="00122E19">
        <w:rPr>
          <w:lang w:val="en-GB"/>
        </w:rPr>
        <w:t>Barthes’ five</w:t>
      </w:r>
      <w:r w:rsidR="001B0A51" w:rsidRPr="002D5045">
        <w:rPr>
          <w:lang w:val="en-GB"/>
        </w:rPr>
        <w:t xml:space="preserve"> </w:t>
      </w:r>
      <w:r>
        <w:rPr>
          <w:lang w:val="en-GB"/>
        </w:rPr>
        <w:t xml:space="preserve">spaces into topoi and/or </w:t>
      </w:r>
      <w:r w:rsidR="00122E19">
        <w:rPr>
          <w:lang w:val="en-GB"/>
        </w:rPr>
        <w:t xml:space="preserve">perspectives </w:t>
      </w:r>
      <w:r>
        <w:rPr>
          <w:lang w:val="en-GB"/>
        </w:rPr>
        <w:t xml:space="preserve">that </w:t>
      </w:r>
      <w:r w:rsidR="00606F44">
        <w:rPr>
          <w:lang w:val="en-GB"/>
        </w:rPr>
        <w:t>call for closer investigation</w:t>
      </w:r>
      <w:r w:rsidR="0007435E" w:rsidRPr="002D5045">
        <w:rPr>
          <w:lang w:val="en-GB"/>
        </w:rPr>
        <w:t xml:space="preserve"> in many specific directions, as the list of related issues and ex</w:t>
      </w:r>
      <w:r w:rsidR="00122E19">
        <w:rPr>
          <w:lang w:val="en-GB"/>
        </w:rPr>
        <w:t>trapolated concepts shows. The</w:t>
      </w:r>
      <w:r>
        <w:rPr>
          <w:lang w:val="en-GB"/>
        </w:rPr>
        <w:t xml:space="preserve">se </w:t>
      </w:r>
      <w:r w:rsidR="0007435E" w:rsidRPr="002D5045">
        <w:rPr>
          <w:lang w:val="en-GB"/>
        </w:rPr>
        <w:t xml:space="preserve">five </w:t>
      </w:r>
      <w:r w:rsidR="0007435E" w:rsidRPr="008B328F">
        <w:rPr>
          <w:lang w:val="en-GB"/>
        </w:rPr>
        <w:t>topoi</w:t>
      </w:r>
      <w:r w:rsidR="0007435E" w:rsidRPr="002D5045">
        <w:rPr>
          <w:lang w:val="en-GB"/>
        </w:rPr>
        <w:t xml:space="preserve"> are the </w:t>
      </w:r>
      <w:r w:rsidR="0007435E" w:rsidRPr="008B328F">
        <w:rPr>
          <w:lang w:val="en-GB"/>
        </w:rPr>
        <w:t>desert</w:t>
      </w:r>
      <w:r w:rsidR="0007435E" w:rsidRPr="002D5045">
        <w:rPr>
          <w:lang w:val="en-GB"/>
        </w:rPr>
        <w:t xml:space="preserve">, the </w:t>
      </w:r>
      <w:r w:rsidR="0007435E" w:rsidRPr="008B328F">
        <w:rPr>
          <w:lang w:val="en-GB"/>
        </w:rPr>
        <w:t>island</w:t>
      </w:r>
      <w:r w:rsidR="0007435E" w:rsidRPr="002D5045">
        <w:rPr>
          <w:lang w:val="en-GB"/>
        </w:rPr>
        <w:t xml:space="preserve">, the </w:t>
      </w:r>
      <w:r w:rsidR="0007435E" w:rsidRPr="008B328F">
        <w:rPr>
          <w:lang w:val="en-GB"/>
        </w:rPr>
        <w:t>sanatorium</w:t>
      </w:r>
      <w:r w:rsidR="0007435E" w:rsidRPr="002D5045">
        <w:rPr>
          <w:lang w:val="en-GB"/>
        </w:rPr>
        <w:t xml:space="preserve">, the </w:t>
      </w:r>
      <w:r w:rsidR="0007435E" w:rsidRPr="008B328F">
        <w:rPr>
          <w:lang w:val="en-GB"/>
        </w:rPr>
        <w:t>city</w:t>
      </w:r>
      <w:r>
        <w:rPr>
          <w:lang w:val="en-GB"/>
        </w:rPr>
        <w:t>,</w:t>
      </w:r>
      <w:r w:rsidR="0007435E" w:rsidRPr="002D5045">
        <w:rPr>
          <w:lang w:val="en-GB"/>
        </w:rPr>
        <w:t xml:space="preserve"> and the </w:t>
      </w:r>
      <w:r w:rsidR="0007435E" w:rsidRPr="008B328F">
        <w:rPr>
          <w:lang w:val="en-GB"/>
        </w:rPr>
        <w:t>home</w:t>
      </w:r>
      <w:r w:rsidR="0007435E" w:rsidRPr="002D5045">
        <w:rPr>
          <w:lang w:val="en-GB"/>
        </w:rPr>
        <w:t xml:space="preserve">. </w:t>
      </w:r>
    </w:p>
    <w:p w14:paraId="1B2DFA5F" w14:textId="77777777" w:rsidR="0007435E" w:rsidRDefault="0007435E" w:rsidP="00995952">
      <w:pPr>
        <w:rPr>
          <w:lang w:val="en-GB"/>
        </w:rPr>
      </w:pPr>
    </w:p>
    <w:p w14:paraId="4DEACE46" w14:textId="2AA1AC4F" w:rsidR="0007435E" w:rsidRDefault="00C02767" w:rsidP="00995952">
      <w:pPr>
        <w:rPr>
          <w:lang w:val="en-GB"/>
        </w:rPr>
      </w:pPr>
      <w:r>
        <w:rPr>
          <w:lang w:val="en-GB"/>
        </w:rPr>
        <w:t>They</w:t>
      </w:r>
      <w:r w:rsidR="0007435E" w:rsidRPr="00FA21A5">
        <w:rPr>
          <w:lang w:val="en-GB"/>
        </w:rPr>
        <w:t xml:space="preserve"> </w:t>
      </w:r>
      <w:r w:rsidR="00833E2D">
        <w:rPr>
          <w:lang w:val="en-GB"/>
        </w:rPr>
        <w:t>function as</w:t>
      </w:r>
      <w:r w:rsidR="0007435E" w:rsidRPr="00FA21A5">
        <w:rPr>
          <w:lang w:val="en-GB"/>
        </w:rPr>
        <w:t xml:space="preserve"> </w:t>
      </w:r>
      <w:r w:rsidR="00FA6F27">
        <w:rPr>
          <w:lang w:val="en-GB"/>
        </w:rPr>
        <w:t>part of the framework</w:t>
      </w:r>
      <w:r w:rsidR="001F421F">
        <w:rPr>
          <w:lang w:val="en-GB"/>
        </w:rPr>
        <w:t xml:space="preserve"> for organis</w:t>
      </w:r>
      <w:r w:rsidR="0007435E" w:rsidRPr="00FA21A5">
        <w:rPr>
          <w:lang w:val="en-GB"/>
        </w:rPr>
        <w:t>ing the acti</w:t>
      </w:r>
      <w:r w:rsidR="00122E19">
        <w:rPr>
          <w:lang w:val="en-GB"/>
        </w:rPr>
        <w:t>vities of the TBLR and the ESSCS</w:t>
      </w:r>
      <w:r w:rsidR="0007435E" w:rsidRPr="00FA21A5">
        <w:rPr>
          <w:lang w:val="en-GB"/>
        </w:rPr>
        <w:t xml:space="preserve"> in </w:t>
      </w:r>
      <w:r w:rsidR="00C35568">
        <w:rPr>
          <w:lang w:val="en-GB"/>
        </w:rPr>
        <w:t>Bergen</w:t>
      </w:r>
      <w:r w:rsidR="0042364B">
        <w:rPr>
          <w:lang w:val="en-GB"/>
        </w:rPr>
        <w:t>.</w:t>
      </w:r>
      <w:r w:rsidR="0007435E" w:rsidRPr="00FA21A5">
        <w:rPr>
          <w:lang w:val="en-GB"/>
        </w:rPr>
        <w:t xml:space="preserve"> The PhD students </w:t>
      </w:r>
      <w:r w:rsidR="0042364B">
        <w:rPr>
          <w:lang w:val="en-GB"/>
        </w:rPr>
        <w:t>are</w:t>
      </w:r>
      <w:r w:rsidR="0007435E" w:rsidRPr="00FA21A5">
        <w:rPr>
          <w:lang w:val="en-GB"/>
        </w:rPr>
        <w:t xml:space="preserve"> </w:t>
      </w:r>
      <w:r>
        <w:rPr>
          <w:lang w:val="en-GB"/>
        </w:rPr>
        <w:t>summoned</w:t>
      </w:r>
      <w:r w:rsidR="0007435E" w:rsidRPr="00FA21A5">
        <w:rPr>
          <w:lang w:val="en-GB"/>
        </w:rPr>
        <w:t xml:space="preserve"> to participate </w:t>
      </w:r>
      <w:r w:rsidR="0042364B">
        <w:rPr>
          <w:lang w:val="en-GB"/>
        </w:rPr>
        <w:t xml:space="preserve">in the plenary sessions where invited keynotes present their talks followed by ensemble discussions, and </w:t>
      </w:r>
      <w:r w:rsidR="0007435E" w:rsidRPr="00FA21A5">
        <w:rPr>
          <w:lang w:val="en-GB"/>
        </w:rPr>
        <w:t xml:space="preserve">in one of </w:t>
      </w:r>
      <w:r w:rsidR="004C69E3">
        <w:rPr>
          <w:lang w:val="en-GB"/>
        </w:rPr>
        <w:t>three</w:t>
      </w:r>
      <w:r w:rsidR="0007435E">
        <w:rPr>
          <w:lang w:val="en-GB"/>
        </w:rPr>
        <w:t xml:space="preserve"> groups</w:t>
      </w:r>
      <w:r w:rsidR="0042364B">
        <w:rPr>
          <w:lang w:val="en-GB"/>
        </w:rPr>
        <w:t xml:space="preserve"> where the students’ </w:t>
      </w:r>
      <w:r w:rsidR="00E6131A">
        <w:rPr>
          <w:lang w:val="en-GB"/>
        </w:rPr>
        <w:t xml:space="preserve">pre-submitted </w:t>
      </w:r>
      <w:r w:rsidR="0042364B">
        <w:rPr>
          <w:lang w:val="en-GB"/>
        </w:rPr>
        <w:t>papers are discussed</w:t>
      </w:r>
      <w:r w:rsidR="0007435E" w:rsidRPr="00FA21A5">
        <w:rPr>
          <w:lang w:val="en-GB"/>
        </w:rPr>
        <w:t xml:space="preserve">. </w:t>
      </w:r>
      <w:r w:rsidR="0042364B">
        <w:rPr>
          <w:lang w:val="en-GB"/>
        </w:rPr>
        <w:t>Keynotes</w:t>
      </w:r>
      <w:r w:rsidR="0007435E">
        <w:rPr>
          <w:lang w:val="en-GB"/>
        </w:rPr>
        <w:t xml:space="preserve"> will be given according to</w:t>
      </w:r>
      <w:r>
        <w:rPr>
          <w:lang w:val="en-GB"/>
        </w:rPr>
        <w:t xml:space="preserve"> a selection of</w:t>
      </w:r>
      <w:r w:rsidR="0007435E">
        <w:rPr>
          <w:lang w:val="en-GB"/>
        </w:rPr>
        <w:t xml:space="preserve"> the issue</w:t>
      </w:r>
      <w:r w:rsidR="004C69E3">
        <w:rPr>
          <w:lang w:val="en-GB"/>
        </w:rPr>
        <w:t>s</w:t>
      </w:r>
      <w:r>
        <w:rPr>
          <w:lang w:val="en-GB"/>
        </w:rPr>
        <w:t xml:space="preserve"> involved</w:t>
      </w:r>
      <w:r w:rsidR="0007435E">
        <w:rPr>
          <w:lang w:val="en-GB"/>
        </w:rPr>
        <w:t xml:space="preserve">. </w:t>
      </w:r>
    </w:p>
    <w:p w14:paraId="43F8435F" w14:textId="77777777" w:rsidR="0007435E" w:rsidRDefault="0007435E" w:rsidP="00995952">
      <w:pPr>
        <w:rPr>
          <w:lang w:val="en-GB"/>
        </w:rPr>
      </w:pPr>
    </w:p>
    <w:p w14:paraId="263D7B97" w14:textId="27684044" w:rsidR="0007435E" w:rsidRPr="00CA615C" w:rsidRDefault="0007435E" w:rsidP="00995952">
      <w:pPr>
        <w:rPr>
          <w:i/>
          <w:lang w:val="en-GB"/>
        </w:rPr>
      </w:pPr>
      <w:r>
        <w:rPr>
          <w:lang w:val="en-GB"/>
        </w:rPr>
        <w:t xml:space="preserve">There are numerous connections between the five </w:t>
      </w:r>
      <w:r w:rsidRPr="000761CB">
        <w:rPr>
          <w:lang w:val="en-GB"/>
        </w:rPr>
        <w:t>topoi</w:t>
      </w:r>
      <w:r>
        <w:rPr>
          <w:lang w:val="en-GB"/>
        </w:rPr>
        <w:t>; they complement each other, create differences</w:t>
      </w:r>
      <w:r w:rsidR="00443A2D">
        <w:rPr>
          <w:lang w:val="en-GB"/>
        </w:rPr>
        <w:t>,</w:t>
      </w:r>
      <w:r>
        <w:rPr>
          <w:lang w:val="en-GB"/>
        </w:rPr>
        <w:t xml:space="preserve"> and show the complexity of the issues of living together in human </w:t>
      </w:r>
      <w:r w:rsidR="00443A2D">
        <w:rPr>
          <w:lang w:val="en-GB"/>
        </w:rPr>
        <w:t>communities</w:t>
      </w:r>
      <w:r>
        <w:rPr>
          <w:lang w:val="en-GB"/>
        </w:rPr>
        <w:t xml:space="preserve">: </w:t>
      </w:r>
    </w:p>
    <w:p w14:paraId="1FBB0ECC" w14:textId="77777777" w:rsidR="0007435E" w:rsidRPr="00FA21A5" w:rsidRDefault="0007435E" w:rsidP="00995952">
      <w:pPr>
        <w:widowControl w:val="0"/>
        <w:autoSpaceDE w:val="0"/>
        <w:autoSpaceDN w:val="0"/>
        <w:adjustRightInd w:val="0"/>
        <w:rPr>
          <w:lang w:val="en-GB"/>
        </w:rPr>
      </w:pPr>
    </w:p>
    <w:p w14:paraId="663371C3" w14:textId="6BCDE45D" w:rsidR="0007435E" w:rsidRPr="00765882" w:rsidRDefault="0042364B" w:rsidP="00995952">
      <w:pPr>
        <w:widowControl w:val="0"/>
        <w:autoSpaceDE w:val="0"/>
        <w:autoSpaceDN w:val="0"/>
        <w:adjustRightInd w:val="0"/>
        <w:rPr>
          <w:b/>
          <w:lang w:val="en-GB"/>
        </w:rPr>
      </w:pPr>
      <w:r>
        <w:rPr>
          <w:lang w:val="en-GB"/>
        </w:rPr>
        <w:t>(1)</w:t>
      </w:r>
      <w:r w:rsidR="0007435E" w:rsidRPr="0042364B">
        <w:rPr>
          <w:lang w:val="en-GB"/>
        </w:rPr>
        <w:t xml:space="preserve"> </w:t>
      </w:r>
      <w:r w:rsidR="0007435E" w:rsidRPr="0042364B">
        <w:rPr>
          <w:bCs/>
          <w:lang w:val="en-GB"/>
        </w:rPr>
        <w:t>DESERT</w:t>
      </w:r>
      <w:r w:rsidR="0007435E" w:rsidRPr="0042364B">
        <w:rPr>
          <w:lang w:val="en-GB"/>
        </w:rPr>
        <w:t>.</w:t>
      </w:r>
      <w:r w:rsidR="0007435E">
        <w:rPr>
          <w:lang w:val="en-GB"/>
        </w:rPr>
        <w:t xml:space="preserve"> </w:t>
      </w:r>
      <w:r w:rsidR="0007435E" w:rsidRPr="00407CAF">
        <w:rPr>
          <w:lang w:val="en-GB"/>
        </w:rPr>
        <w:t>As</w:t>
      </w:r>
      <w:r w:rsidR="0007435E">
        <w:rPr>
          <w:lang w:val="en-GB"/>
        </w:rPr>
        <w:t xml:space="preserve"> a concept, the “desert” </w:t>
      </w:r>
      <w:r w:rsidR="0007435E">
        <w:t xml:space="preserve">is generally thought of as a </w:t>
      </w:r>
      <w:r w:rsidR="0007435E" w:rsidRPr="00407CAF">
        <w:rPr>
          <w:lang w:val="en-GB"/>
        </w:rPr>
        <w:t>desolate</w:t>
      </w:r>
      <w:r w:rsidR="0007435E">
        <w:t xml:space="preserve"> and empty</w:t>
      </w:r>
      <w:r w:rsidR="0007435E">
        <w:rPr>
          <w:lang w:val="en-GB"/>
        </w:rPr>
        <w:t xml:space="preserve"> </w:t>
      </w:r>
      <w:r w:rsidR="0007435E">
        <w:t xml:space="preserve">landscape, </w:t>
      </w:r>
      <w:r w:rsidR="0007435E" w:rsidRPr="00407CAF">
        <w:rPr>
          <w:lang w:val="en-GB"/>
        </w:rPr>
        <w:t>interpret</w:t>
      </w:r>
      <w:r w:rsidR="0007435E">
        <w:rPr>
          <w:lang w:val="en-GB"/>
        </w:rPr>
        <w:t xml:space="preserve">ed </w:t>
      </w:r>
      <w:r w:rsidR="0007435E">
        <w:t>by writers, philosophers, composers, film-makers, artists and critics as a place of extremes. As the landscape of the desert contains dryness, silence, margins and, with some exceptions, lack of fauna and flora, it may serve as a metaphor for anything from death, poverty or religion</w:t>
      </w:r>
      <w:r>
        <w:t>,</w:t>
      </w:r>
      <w:r w:rsidR="0007435E">
        <w:t xml:space="preserve"> to the primitive past, desolate future and nomad culture, but also retirement, withdrawal and ac</w:t>
      </w:r>
      <w:r>
        <w:t>edia (a mental state characteris</w:t>
      </w:r>
      <w:r w:rsidR="0007435E">
        <w:t>ed by i</w:t>
      </w:r>
      <w:r w:rsidR="0007435E">
        <w:rPr>
          <w:lang w:val="en-US"/>
        </w:rPr>
        <w:t>ndifference, boredom, fear, loss of desire etc.</w:t>
      </w:r>
      <w:r w:rsidR="0007435E">
        <w:t xml:space="preserve">). Since Bishop Palladius’ </w:t>
      </w:r>
      <w:r w:rsidR="0007435E">
        <w:rPr>
          <w:i/>
        </w:rPr>
        <w:t xml:space="preserve">Lausiac History </w:t>
      </w:r>
      <w:r w:rsidR="0007435E" w:rsidRPr="00FB6F0C">
        <w:t>t</w:t>
      </w:r>
      <w:r w:rsidR="0007435E" w:rsidRPr="00F81C12">
        <w:t>h</w:t>
      </w:r>
      <w:r w:rsidR="0007435E">
        <w:t>ere is</w:t>
      </w:r>
      <w:r>
        <w:t xml:space="preserve"> </w:t>
      </w:r>
      <w:r w:rsidR="0007435E">
        <w:t xml:space="preserve">an extensive literature on the subject of deserts. As the American poet Robert Frost writes in </w:t>
      </w:r>
      <w:r>
        <w:t>his</w:t>
      </w:r>
      <w:r w:rsidR="0007435E">
        <w:t xml:space="preserve"> poem “</w:t>
      </w:r>
      <w:r w:rsidR="0007435E" w:rsidRPr="002F18C9">
        <w:rPr>
          <w:iCs/>
        </w:rPr>
        <w:t>Desert Places</w:t>
      </w:r>
      <w:r w:rsidR="0007435E">
        <w:rPr>
          <w:iCs/>
        </w:rPr>
        <w:t>”</w:t>
      </w:r>
      <w:r w:rsidR="0007435E">
        <w:t>, the desert is among other things related to loneliness and sorrow, the feeling of bearing a void: “I have it in me so much nearer home/To scare m</w:t>
      </w:r>
      <w:r>
        <w:t>yself with my own desert places</w:t>
      </w:r>
      <w:r w:rsidR="0007435E">
        <w:t>”</w:t>
      </w:r>
      <w:r>
        <w:t>.</w:t>
      </w:r>
      <w:r w:rsidR="0007435E">
        <w:t xml:space="preserve"> This platform invites to think </w:t>
      </w:r>
      <w:r>
        <w:rPr>
          <w:i/>
        </w:rPr>
        <w:t>the i</w:t>
      </w:r>
      <w:r w:rsidR="0007435E" w:rsidRPr="00237AE6">
        <w:rPr>
          <w:i/>
        </w:rPr>
        <w:t>dior</w:t>
      </w:r>
      <w:r w:rsidR="0007435E">
        <w:rPr>
          <w:i/>
        </w:rPr>
        <w:t>rhythm</w:t>
      </w:r>
      <w:r>
        <w:rPr>
          <w:i/>
        </w:rPr>
        <w:t>ic</w:t>
      </w:r>
      <w:r w:rsidR="0007435E">
        <w:t xml:space="preserve"> and idiorrhythmic life as vulnerable and exposed to death.</w:t>
      </w:r>
      <w:r w:rsidR="0007435E">
        <w:rPr>
          <w:b/>
          <w:lang w:val="en-GB"/>
        </w:rPr>
        <w:t xml:space="preserve"> </w:t>
      </w:r>
      <w:r w:rsidR="0066616C">
        <w:rPr>
          <w:b/>
          <w:lang w:val="en-GB"/>
        </w:rPr>
        <w:t>Suggestive k</w:t>
      </w:r>
      <w:r w:rsidR="0007435E" w:rsidRPr="00765882">
        <w:rPr>
          <w:b/>
          <w:lang w:val="en-GB"/>
        </w:rPr>
        <w:t>ey words</w:t>
      </w:r>
      <w:r w:rsidR="00BD54A1">
        <w:rPr>
          <w:b/>
          <w:lang w:val="en-GB"/>
        </w:rPr>
        <w:t xml:space="preserve"> for PhD student-paper </w:t>
      </w:r>
      <w:r w:rsidR="00B95C7F">
        <w:rPr>
          <w:b/>
          <w:lang w:val="en-GB"/>
        </w:rPr>
        <w:t>topics and perspectives</w:t>
      </w:r>
      <w:r w:rsidR="0007435E" w:rsidRPr="00765882">
        <w:rPr>
          <w:b/>
          <w:lang w:val="en-GB"/>
        </w:rPr>
        <w:t>:</w:t>
      </w:r>
      <w:r w:rsidR="0007435E">
        <w:rPr>
          <w:b/>
          <w:lang w:val="en-GB"/>
        </w:rPr>
        <w:t xml:space="preserve"> </w:t>
      </w:r>
      <w:r w:rsidR="0007435E" w:rsidRPr="00765882">
        <w:rPr>
          <w:b/>
          <w:lang w:val="en-GB"/>
        </w:rPr>
        <w:t>death, religions, rules, margins, poverty, silence, aced</w:t>
      </w:r>
      <w:r>
        <w:rPr>
          <w:b/>
          <w:lang w:val="en-GB"/>
        </w:rPr>
        <w:t>ia/melancholy, nomads, withdrawa</w:t>
      </w:r>
      <w:r w:rsidR="0007435E" w:rsidRPr="00765882">
        <w:rPr>
          <w:b/>
          <w:lang w:val="en-GB"/>
        </w:rPr>
        <w:t>l, retirement, refusal</w:t>
      </w:r>
      <w:r w:rsidR="0007435E">
        <w:rPr>
          <w:b/>
          <w:lang w:val="en-GB"/>
        </w:rPr>
        <w:t>.</w:t>
      </w:r>
    </w:p>
    <w:p w14:paraId="5EA034E2" w14:textId="77777777" w:rsidR="0007435E" w:rsidRPr="00FA21A5" w:rsidRDefault="0007435E" w:rsidP="00995952">
      <w:pPr>
        <w:widowControl w:val="0"/>
        <w:autoSpaceDE w:val="0"/>
        <w:autoSpaceDN w:val="0"/>
        <w:adjustRightInd w:val="0"/>
        <w:rPr>
          <w:lang w:val="en-GB"/>
        </w:rPr>
      </w:pPr>
    </w:p>
    <w:p w14:paraId="4319A349" w14:textId="08F26708" w:rsidR="0007435E" w:rsidRDefault="0042364B" w:rsidP="00995952">
      <w:pPr>
        <w:rPr>
          <w:b/>
          <w:lang w:val="en-GB"/>
        </w:rPr>
      </w:pPr>
      <w:r>
        <w:rPr>
          <w:lang w:val="en-GB"/>
        </w:rPr>
        <w:t>(2)</w:t>
      </w:r>
      <w:r w:rsidR="0007435E" w:rsidRPr="0042364B">
        <w:rPr>
          <w:lang w:val="en-GB"/>
        </w:rPr>
        <w:t xml:space="preserve"> </w:t>
      </w:r>
      <w:r w:rsidR="0007435E" w:rsidRPr="0042364B">
        <w:rPr>
          <w:bCs/>
          <w:lang w:val="en-GB"/>
        </w:rPr>
        <w:t>ISLAND</w:t>
      </w:r>
      <w:r w:rsidR="0007435E" w:rsidRPr="0042364B">
        <w:rPr>
          <w:lang w:val="en-GB"/>
        </w:rPr>
        <w:t>.</w:t>
      </w:r>
      <w:r w:rsidR="0007435E">
        <w:rPr>
          <w:lang w:val="en-GB"/>
        </w:rPr>
        <w:t xml:space="preserve"> In the history of literature and of myths, the island is a metaphor for </w:t>
      </w:r>
      <w:r w:rsidR="0007435E" w:rsidRPr="00FA21A5">
        <w:rPr>
          <w:lang w:val="en-GB"/>
        </w:rPr>
        <w:t>isolation, individuality,</w:t>
      </w:r>
      <w:r w:rsidR="0007435E">
        <w:rPr>
          <w:lang w:val="en-GB"/>
        </w:rPr>
        <w:t xml:space="preserve"> strandedness, forsakenness, but also independence, new life and creativity based on reduced circumstances. The number of fictional islands is great, from Avalon (Arthurian legend) and Neverland (Barrie) to Treasure Island (Stevenson) and Kokovoko (Melville); from New Atlantis (Bacon) and Utopia (More) to Fraxos (Fowles) and Isla Nub</w:t>
      </w:r>
      <w:r w:rsidR="005E338A">
        <w:rPr>
          <w:lang w:val="en-GB"/>
        </w:rPr>
        <w:t>l</w:t>
      </w:r>
      <w:r w:rsidR="0007435E">
        <w:rPr>
          <w:lang w:val="en-GB"/>
        </w:rPr>
        <w:t xml:space="preserve">ar (Jurrassic Park). As in John Donne’s phrasing, “No man is an island”, the metaphor is obviously open for a questioning of the very essence of idiorrhythmic life. </w:t>
      </w:r>
      <w:r w:rsidR="005634D1">
        <w:rPr>
          <w:lang w:val="en-GB"/>
        </w:rPr>
        <w:t xml:space="preserve">For </w:t>
      </w:r>
      <w:r w:rsidR="00B428E8">
        <w:rPr>
          <w:lang w:val="en-GB"/>
        </w:rPr>
        <w:t>the</w:t>
      </w:r>
      <w:r w:rsidR="0095264F">
        <w:rPr>
          <w:lang w:val="en-GB"/>
        </w:rPr>
        <w:t xml:space="preserve"> </w:t>
      </w:r>
      <w:r w:rsidR="005634D1">
        <w:rPr>
          <w:lang w:val="en-GB"/>
        </w:rPr>
        <w:t>summer course</w:t>
      </w:r>
      <w:r w:rsidR="0007435E">
        <w:rPr>
          <w:lang w:val="en-GB"/>
        </w:rPr>
        <w:t xml:space="preserve">, the topos of the </w:t>
      </w:r>
      <w:r w:rsidR="0007435E">
        <w:rPr>
          <w:i/>
          <w:lang w:val="en-GB"/>
        </w:rPr>
        <w:t>island</w:t>
      </w:r>
      <w:r w:rsidR="0007435E">
        <w:rPr>
          <w:lang w:val="en-GB"/>
        </w:rPr>
        <w:t xml:space="preserve"> also opens up</w:t>
      </w:r>
      <w:r w:rsidR="00EB6D85">
        <w:rPr>
          <w:lang w:val="en-GB"/>
        </w:rPr>
        <w:t xml:space="preserve"> for</w:t>
      </w:r>
      <w:r w:rsidR="00BA6945">
        <w:rPr>
          <w:lang w:val="en-GB"/>
        </w:rPr>
        <w:t xml:space="preserve"> reflection</w:t>
      </w:r>
      <w:r w:rsidR="0007435E">
        <w:rPr>
          <w:lang w:val="en-GB"/>
        </w:rPr>
        <w:t xml:space="preserve"> on immigration. Bhabha points to the </w:t>
      </w:r>
      <w:r w:rsidR="0007435E" w:rsidRPr="003600BD">
        <w:rPr>
          <w:lang w:val="en-GB"/>
        </w:rPr>
        <w:t xml:space="preserve">unmappable spaces </w:t>
      </w:r>
      <w:r w:rsidR="0007435E">
        <w:rPr>
          <w:lang w:val="en-GB"/>
        </w:rPr>
        <w:t xml:space="preserve">– </w:t>
      </w:r>
      <w:r w:rsidR="0007435E" w:rsidRPr="00FA21A5">
        <w:rPr>
          <w:lang w:val="en-GB"/>
        </w:rPr>
        <w:t xml:space="preserve">in-betweens and liminalities </w:t>
      </w:r>
      <w:r w:rsidR="0007435E">
        <w:rPr>
          <w:lang w:val="en-GB"/>
        </w:rPr>
        <w:t xml:space="preserve">– </w:t>
      </w:r>
      <w:r w:rsidR="0007435E" w:rsidRPr="003600BD">
        <w:rPr>
          <w:lang w:val="en-GB"/>
        </w:rPr>
        <w:t>which</w:t>
      </w:r>
      <w:r w:rsidR="0007435E" w:rsidRPr="00FA21A5">
        <w:rPr>
          <w:lang w:val="en-GB"/>
        </w:rPr>
        <w:t xml:space="preserve"> </w:t>
      </w:r>
      <w:r w:rsidR="0007435E">
        <w:rPr>
          <w:lang w:val="en-GB"/>
        </w:rPr>
        <w:t xml:space="preserve">appear </w:t>
      </w:r>
      <w:r w:rsidR="0007435E" w:rsidRPr="00FA21A5">
        <w:rPr>
          <w:lang w:val="en-GB"/>
        </w:rPr>
        <w:t>as archipelago</w:t>
      </w:r>
      <w:r w:rsidR="0007435E">
        <w:rPr>
          <w:lang w:val="en-GB"/>
        </w:rPr>
        <w:t>s</w:t>
      </w:r>
      <w:r w:rsidR="0007435E" w:rsidRPr="00FA21A5">
        <w:rPr>
          <w:lang w:val="en-GB"/>
        </w:rPr>
        <w:t xml:space="preserve"> of </w:t>
      </w:r>
      <w:r w:rsidR="00F802F7">
        <w:rPr>
          <w:lang w:val="en-GB"/>
        </w:rPr>
        <w:t xml:space="preserve">or </w:t>
      </w:r>
      <w:r w:rsidR="0007435E" w:rsidRPr="00FA21A5">
        <w:rPr>
          <w:lang w:val="en-GB"/>
        </w:rPr>
        <w:t>on the outer and inner margins of nations and metropoles</w:t>
      </w:r>
      <w:r w:rsidR="0007435E">
        <w:rPr>
          <w:lang w:val="en-GB"/>
        </w:rPr>
        <w:t>:</w:t>
      </w:r>
      <w:r w:rsidR="0007435E" w:rsidRPr="00FA21A5">
        <w:rPr>
          <w:lang w:val="en-GB"/>
        </w:rPr>
        <w:t xml:space="preserve"> </w:t>
      </w:r>
      <w:r w:rsidR="0007435E">
        <w:rPr>
          <w:lang w:val="en-GB"/>
        </w:rPr>
        <w:t xml:space="preserve">they are </w:t>
      </w:r>
      <w:r w:rsidR="0007435E" w:rsidRPr="00FA21A5">
        <w:rPr>
          <w:lang w:val="en-GB"/>
        </w:rPr>
        <w:t>produced today primarily by global flows of migration and established diasporic cultures</w:t>
      </w:r>
      <w:r w:rsidR="00F802F7">
        <w:rPr>
          <w:lang w:val="en-GB"/>
        </w:rPr>
        <w:t>,</w:t>
      </w:r>
      <w:r w:rsidR="0007435E" w:rsidRPr="00FA21A5">
        <w:rPr>
          <w:lang w:val="en-GB"/>
        </w:rPr>
        <w:t xml:space="preserve"> in which hybrid identities flourish</w:t>
      </w:r>
      <w:r w:rsidR="0007435E" w:rsidRPr="0017391D">
        <w:rPr>
          <w:lang w:val="en-GB"/>
        </w:rPr>
        <w:t xml:space="preserve"> </w:t>
      </w:r>
      <w:r w:rsidR="0007435E">
        <w:rPr>
          <w:lang w:val="en-GB"/>
        </w:rPr>
        <w:t>in contemporary cosmopolitan societies.</w:t>
      </w:r>
      <w:r w:rsidR="0007435E">
        <w:rPr>
          <w:b/>
          <w:lang w:val="en-GB"/>
        </w:rPr>
        <w:t xml:space="preserve"> </w:t>
      </w:r>
      <w:r w:rsidR="0066616C">
        <w:rPr>
          <w:b/>
          <w:lang w:val="en-GB"/>
        </w:rPr>
        <w:t>Suggestive k</w:t>
      </w:r>
      <w:r w:rsidR="0007435E" w:rsidRPr="00765882">
        <w:rPr>
          <w:b/>
          <w:lang w:val="en-GB"/>
        </w:rPr>
        <w:t>ey words: isolation, boundaries, independence, individuality, civilisation, migration</w:t>
      </w:r>
      <w:r w:rsidR="0007435E">
        <w:rPr>
          <w:b/>
          <w:lang w:val="en-GB"/>
        </w:rPr>
        <w:t>.</w:t>
      </w:r>
    </w:p>
    <w:p w14:paraId="4999F18C" w14:textId="77777777" w:rsidR="0007435E" w:rsidRPr="00014024" w:rsidRDefault="0007435E" w:rsidP="00995952">
      <w:pPr>
        <w:rPr>
          <w:lang w:val="en-GB"/>
        </w:rPr>
      </w:pPr>
    </w:p>
    <w:p w14:paraId="31D47362" w14:textId="0421B8BC" w:rsidR="0007435E" w:rsidRPr="00FC2E45" w:rsidRDefault="008B6B74" w:rsidP="00995952">
      <w:pPr>
        <w:rPr>
          <w:szCs w:val="24"/>
          <w:lang w:val="en-GB"/>
        </w:rPr>
      </w:pPr>
      <w:r>
        <w:rPr>
          <w:lang w:val="en-GB"/>
        </w:rPr>
        <w:t>(3)</w:t>
      </w:r>
      <w:r w:rsidR="0007435E" w:rsidRPr="008B6B74">
        <w:rPr>
          <w:lang w:val="en-GB"/>
        </w:rPr>
        <w:t xml:space="preserve"> </w:t>
      </w:r>
      <w:r w:rsidR="0007435E" w:rsidRPr="008B6B74">
        <w:rPr>
          <w:bCs/>
          <w:lang w:val="en-GB"/>
        </w:rPr>
        <w:t>SANATORIUM</w:t>
      </w:r>
      <w:r w:rsidR="0007435E" w:rsidRPr="008B6B74">
        <w:rPr>
          <w:lang w:val="en-GB"/>
        </w:rPr>
        <w:t>.</w:t>
      </w:r>
      <w:r w:rsidR="0007435E">
        <w:rPr>
          <w:lang w:val="en-GB"/>
        </w:rPr>
        <w:t xml:space="preserve"> The </w:t>
      </w:r>
      <w:r w:rsidR="0007435E" w:rsidRPr="00311C91">
        <w:rPr>
          <w:i/>
          <w:lang w:val="en-GB"/>
        </w:rPr>
        <w:t>sanatorium</w:t>
      </w:r>
      <w:r w:rsidR="0007435E">
        <w:rPr>
          <w:lang w:val="en-GB"/>
        </w:rPr>
        <w:t xml:space="preserve"> is a now outmoded concept for health care institutions or places of recreation for people suffering from tuberculosis until the TB epidemic died down in the 1940s, thanks to antibiotics, as well as </w:t>
      </w:r>
      <w:r>
        <w:rPr>
          <w:lang w:val="en-GB"/>
        </w:rPr>
        <w:t xml:space="preserve">for </w:t>
      </w:r>
      <w:r w:rsidR="0007435E">
        <w:rPr>
          <w:lang w:val="en-GB"/>
        </w:rPr>
        <w:t>places treating nervous disorders.</w:t>
      </w:r>
      <w:r w:rsidR="0007435E" w:rsidRPr="00FA21A5">
        <w:rPr>
          <w:szCs w:val="24"/>
          <w:lang w:val="en-GB"/>
        </w:rPr>
        <w:t xml:space="preserve"> </w:t>
      </w:r>
      <w:r w:rsidR="0007435E">
        <w:rPr>
          <w:szCs w:val="24"/>
          <w:lang w:val="en-GB"/>
        </w:rPr>
        <w:t>The life of the sanato</w:t>
      </w:r>
      <w:r w:rsidR="00E60F6D">
        <w:rPr>
          <w:szCs w:val="24"/>
          <w:lang w:val="en-GB"/>
        </w:rPr>
        <w:t>rium is described in literature:</w:t>
      </w:r>
      <w:r w:rsidR="0007435E">
        <w:rPr>
          <w:szCs w:val="24"/>
          <w:lang w:val="en-GB"/>
        </w:rPr>
        <w:t xml:space="preserve"> in novels, short stories and poems, especially from the </w:t>
      </w:r>
      <w:r w:rsidR="0007435E">
        <w:rPr>
          <w:lang w:val="en-GB"/>
        </w:rPr>
        <w:t>19</w:t>
      </w:r>
      <w:r w:rsidR="0007435E" w:rsidRPr="00235141">
        <w:rPr>
          <w:vertAlign w:val="superscript"/>
          <w:lang w:val="en-GB"/>
        </w:rPr>
        <w:t>th</w:t>
      </w:r>
      <w:r w:rsidR="0007435E">
        <w:rPr>
          <w:szCs w:val="24"/>
          <w:lang w:val="en-GB"/>
        </w:rPr>
        <w:t xml:space="preserve"> and </w:t>
      </w:r>
      <w:r w:rsidR="0007435E">
        <w:rPr>
          <w:lang w:val="en-GB"/>
        </w:rPr>
        <w:t>20</w:t>
      </w:r>
      <w:r w:rsidR="0007435E" w:rsidRPr="00F32E62">
        <w:rPr>
          <w:vertAlign w:val="superscript"/>
          <w:lang w:val="en-GB"/>
        </w:rPr>
        <w:t>th</w:t>
      </w:r>
      <w:r w:rsidR="0007435E">
        <w:rPr>
          <w:szCs w:val="24"/>
          <w:lang w:val="en-GB"/>
        </w:rPr>
        <w:t xml:space="preserve"> Centuries (e.g. Skram, Hamsun, Mann, Plath, </w:t>
      </w:r>
      <w:r w:rsidR="0007435E">
        <w:t>Solzjenitsyn</w:t>
      </w:r>
      <w:r w:rsidR="0007435E">
        <w:rPr>
          <w:szCs w:val="24"/>
          <w:lang w:val="en-GB"/>
        </w:rPr>
        <w:t xml:space="preserve">), as well as in our time, where it occupies an important place in films (Forman’s </w:t>
      </w:r>
      <w:r w:rsidR="0007435E" w:rsidRPr="00CF1784">
        <w:rPr>
          <w:i/>
          <w:szCs w:val="24"/>
          <w:lang w:val="en-GB"/>
        </w:rPr>
        <w:t>One Flew Over the Cuckoo</w:t>
      </w:r>
      <w:r w:rsidR="0007435E">
        <w:rPr>
          <w:i/>
          <w:szCs w:val="24"/>
          <w:lang w:val="en-GB"/>
        </w:rPr>
        <w:t>’</w:t>
      </w:r>
      <w:r w:rsidR="0007435E" w:rsidRPr="00CF1784">
        <w:rPr>
          <w:i/>
          <w:szCs w:val="24"/>
          <w:lang w:val="en-GB"/>
        </w:rPr>
        <w:t>s Nest</w:t>
      </w:r>
      <w:r w:rsidR="0007435E">
        <w:rPr>
          <w:szCs w:val="24"/>
          <w:lang w:val="en-GB"/>
        </w:rPr>
        <w:t xml:space="preserve">), television (von Trier’s </w:t>
      </w:r>
      <w:r w:rsidR="0007435E" w:rsidRPr="00FC2E45">
        <w:rPr>
          <w:i/>
          <w:szCs w:val="24"/>
          <w:lang w:val="en-GB"/>
        </w:rPr>
        <w:t>Riget</w:t>
      </w:r>
      <w:r w:rsidR="0007435E">
        <w:rPr>
          <w:szCs w:val="24"/>
          <w:lang w:val="en-GB"/>
        </w:rPr>
        <w:t xml:space="preserve">), and theatre (Verdensteatret’s </w:t>
      </w:r>
      <w:r w:rsidR="0007435E">
        <w:rPr>
          <w:i/>
          <w:szCs w:val="24"/>
          <w:lang w:val="en-GB"/>
        </w:rPr>
        <w:t>The Hourglass Sanatorium</w:t>
      </w:r>
      <w:r w:rsidR="0007435E">
        <w:rPr>
          <w:szCs w:val="24"/>
          <w:lang w:val="en-GB"/>
        </w:rPr>
        <w:t>). On the other hand, the sanatorium as institution is described in documents and literature concerning public health systems (public accounts</w:t>
      </w:r>
      <w:r w:rsidR="00E60F6D">
        <w:rPr>
          <w:szCs w:val="24"/>
          <w:lang w:val="en-GB"/>
        </w:rPr>
        <w:t xml:space="preserve"> and reports on hospital organis</w:t>
      </w:r>
      <w:r w:rsidR="0007435E">
        <w:rPr>
          <w:szCs w:val="24"/>
          <w:lang w:val="en-GB"/>
        </w:rPr>
        <w:t xml:space="preserve">ation etc.). The particular essence of the sanatorium is that it is closed, but at the same time submitted to public direction. </w:t>
      </w:r>
      <w:r w:rsidR="00863586">
        <w:rPr>
          <w:szCs w:val="24"/>
          <w:lang w:val="en-GB"/>
        </w:rPr>
        <w:t xml:space="preserve">At </w:t>
      </w:r>
      <w:r w:rsidR="00546B6C">
        <w:rPr>
          <w:szCs w:val="24"/>
          <w:lang w:val="en-GB"/>
        </w:rPr>
        <w:t>the</w:t>
      </w:r>
      <w:r w:rsidR="00863586">
        <w:rPr>
          <w:szCs w:val="24"/>
          <w:lang w:val="en-GB"/>
        </w:rPr>
        <w:t xml:space="preserve"> summer school</w:t>
      </w:r>
      <w:r w:rsidR="0007435E">
        <w:rPr>
          <w:szCs w:val="24"/>
          <w:lang w:val="en-GB"/>
        </w:rPr>
        <w:t xml:space="preserve">, the sanatorium as institution, idea and metaphor </w:t>
      </w:r>
      <w:r w:rsidR="00863586">
        <w:rPr>
          <w:szCs w:val="24"/>
          <w:lang w:val="en-GB"/>
        </w:rPr>
        <w:t xml:space="preserve">may </w:t>
      </w:r>
      <w:r w:rsidR="0007435E">
        <w:rPr>
          <w:szCs w:val="24"/>
          <w:lang w:val="en-GB"/>
        </w:rPr>
        <w:t xml:space="preserve">include an exploration of the </w:t>
      </w:r>
      <w:r w:rsidR="0007435E">
        <w:rPr>
          <w:i/>
          <w:szCs w:val="24"/>
          <w:lang w:val="en-GB"/>
        </w:rPr>
        <w:t>telos</w:t>
      </w:r>
      <w:r w:rsidR="0007435E">
        <w:rPr>
          <w:szCs w:val="24"/>
          <w:lang w:val="en-GB"/>
        </w:rPr>
        <w:t xml:space="preserve"> and the </w:t>
      </w:r>
      <w:r w:rsidR="00863586">
        <w:rPr>
          <w:i/>
          <w:lang w:val="en-GB"/>
        </w:rPr>
        <w:t>the i</w:t>
      </w:r>
      <w:r w:rsidR="0007435E" w:rsidRPr="00FC2E45">
        <w:rPr>
          <w:i/>
          <w:lang w:val="en-GB"/>
        </w:rPr>
        <w:t>dior</w:t>
      </w:r>
      <w:r w:rsidR="0007435E">
        <w:rPr>
          <w:i/>
          <w:lang w:val="en-GB"/>
        </w:rPr>
        <w:t>rhythm</w:t>
      </w:r>
      <w:r w:rsidR="0007435E" w:rsidRPr="00FC2E45">
        <w:rPr>
          <w:i/>
          <w:lang w:val="en-GB"/>
        </w:rPr>
        <w:t>ic</w:t>
      </w:r>
      <w:r w:rsidR="0007435E">
        <w:rPr>
          <w:lang w:val="en-GB"/>
        </w:rPr>
        <w:t xml:space="preserve"> of the life at institutions. The sanatorium can be taken as exemplary of various institutions in which people spend parts of their lives living together, such as retirement communities, cruise ships, colleges and prisons.</w:t>
      </w:r>
      <w:r w:rsidR="0007435E">
        <w:rPr>
          <w:b/>
          <w:lang w:val="en-GB"/>
        </w:rPr>
        <w:t xml:space="preserve"> </w:t>
      </w:r>
      <w:r w:rsidR="0066616C">
        <w:rPr>
          <w:b/>
          <w:lang w:val="en-GB"/>
        </w:rPr>
        <w:t>Suggestive k</w:t>
      </w:r>
      <w:r w:rsidR="0007435E" w:rsidRPr="00765882">
        <w:rPr>
          <w:b/>
          <w:lang w:val="en-GB"/>
        </w:rPr>
        <w:t>ey words: health, death, institutions, institution analysis, illness and identification</w:t>
      </w:r>
      <w:r w:rsidR="0007435E">
        <w:rPr>
          <w:b/>
          <w:lang w:val="en-GB"/>
        </w:rPr>
        <w:t>.</w:t>
      </w:r>
    </w:p>
    <w:p w14:paraId="3E5B432E" w14:textId="77777777" w:rsidR="0007435E" w:rsidRDefault="0007435E" w:rsidP="00995952">
      <w:pPr>
        <w:rPr>
          <w:szCs w:val="24"/>
          <w:lang w:val="en-GB"/>
        </w:rPr>
      </w:pPr>
    </w:p>
    <w:p w14:paraId="4E2D079D" w14:textId="69B42896" w:rsidR="0007435E" w:rsidRPr="00135D53" w:rsidRDefault="001A00C6" w:rsidP="00995952">
      <w:pPr>
        <w:rPr>
          <w:b/>
          <w:lang w:val="en-GB"/>
        </w:rPr>
      </w:pPr>
      <w:r>
        <w:rPr>
          <w:lang w:val="en-GB"/>
        </w:rPr>
        <w:t>(4)</w:t>
      </w:r>
      <w:r w:rsidR="0007435E" w:rsidRPr="001A00C6">
        <w:rPr>
          <w:lang w:val="en-GB"/>
        </w:rPr>
        <w:t xml:space="preserve"> </w:t>
      </w:r>
      <w:r w:rsidR="0007435E" w:rsidRPr="001A00C6">
        <w:rPr>
          <w:bCs/>
          <w:lang w:val="en-GB"/>
        </w:rPr>
        <w:t>CITY</w:t>
      </w:r>
      <w:r w:rsidR="0007435E" w:rsidRPr="001A00C6">
        <w:rPr>
          <w:lang w:val="en-GB"/>
        </w:rPr>
        <w:t>.</w:t>
      </w:r>
      <w:r>
        <w:rPr>
          <w:lang w:val="en-GB"/>
        </w:rPr>
        <w:t xml:space="preserve"> While t</w:t>
      </w:r>
      <w:r w:rsidR="0007435E">
        <w:rPr>
          <w:lang w:val="en-GB"/>
        </w:rPr>
        <w:t xml:space="preserve">he </w:t>
      </w:r>
      <w:r w:rsidR="0007435E">
        <w:rPr>
          <w:i/>
          <w:lang w:val="en-GB"/>
        </w:rPr>
        <w:t>city</w:t>
      </w:r>
      <w:r w:rsidR="0007435E">
        <w:rPr>
          <w:lang w:val="en-GB"/>
        </w:rPr>
        <w:t xml:space="preserve"> may be regarded as the opposite of the </w:t>
      </w:r>
      <w:r w:rsidR="0007435E" w:rsidRPr="00FC2E45">
        <w:rPr>
          <w:i/>
          <w:lang w:val="en-GB"/>
        </w:rPr>
        <w:t>desert</w:t>
      </w:r>
      <w:r w:rsidR="0007435E">
        <w:rPr>
          <w:lang w:val="en-GB"/>
        </w:rPr>
        <w:t xml:space="preserve">, it has affinities to the </w:t>
      </w:r>
      <w:r w:rsidR="0007435E" w:rsidRPr="00FC2E45">
        <w:rPr>
          <w:i/>
          <w:lang w:val="en-GB"/>
        </w:rPr>
        <w:t>island</w:t>
      </w:r>
      <w:r w:rsidR="0007435E">
        <w:rPr>
          <w:lang w:val="en-GB"/>
        </w:rPr>
        <w:t xml:space="preserve"> metaphor as well as to the topos of the </w:t>
      </w:r>
      <w:r w:rsidR="0007435E" w:rsidRPr="00FC2E45">
        <w:rPr>
          <w:i/>
          <w:lang w:val="en-GB"/>
        </w:rPr>
        <w:t>home</w:t>
      </w:r>
      <w:r w:rsidR="0007435E">
        <w:rPr>
          <w:lang w:val="en-GB"/>
        </w:rPr>
        <w:t xml:space="preserve">. The topos of the </w:t>
      </w:r>
      <w:r w:rsidR="0007435E" w:rsidRPr="00FC2E45">
        <w:rPr>
          <w:i/>
          <w:lang w:val="en-GB"/>
        </w:rPr>
        <w:t>city</w:t>
      </w:r>
      <w:r w:rsidR="0007435E">
        <w:rPr>
          <w:lang w:val="en-GB"/>
        </w:rPr>
        <w:t xml:space="preserve"> invites reflections on various modern life forms, analyses that are focused on </w:t>
      </w:r>
      <w:r w:rsidR="0007435E" w:rsidRPr="00FC2E45">
        <w:rPr>
          <w:i/>
          <w:lang w:val="en-GB"/>
        </w:rPr>
        <w:t>idior</w:t>
      </w:r>
      <w:r w:rsidR="0007435E">
        <w:rPr>
          <w:i/>
          <w:lang w:val="en-GB"/>
        </w:rPr>
        <w:t>rhythm</w:t>
      </w:r>
      <w:r w:rsidR="0007435E" w:rsidRPr="00FC2E45">
        <w:rPr>
          <w:i/>
          <w:lang w:val="en-GB"/>
        </w:rPr>
        <w:t>i</w:t>
      </w:r>
      <w:r w:rsidR="0007435E">
        <w:rPr>
          <w:i/>
          <w:lang w:val="en-GB"/>
        </w:rPr>
        <w:t>cs</w:t>
      </w:r>
      <w:r w:rsidR="0007435E">
        <w:rPr>
          <w:lang w:val="en-GB"/>
        </w:rPr>
        <w:t>. In literary studies the modern city has been described as a mythological heterogeneous space for fascination and imagination (e.g. Benjamin, Stierle, Berman). It has also been regarded as a place for anonymity, consisting of a</w:t>
      </w:r>
      <w:r w:rsidR="008D23D5">
        <w:rPr>
          <w:lang w:val="en-GB"/>
        </w:rPr>
        <w:t>lienated literary heroes (Dosto</w:t>
      </w:r>
      <w:r w:rsidR="00187CD0">
        <w:rPr>
          <w:lang w:val="en-GB"/>
        </w:rPr>
        <w:t>ye</w:t>
      </w:r>
      <w:r w:rsidR="0007435E">
        <w:rPr>
          <w:lang w:val="en-GB"/>
        </w:rPr>
        <w:t>vsky, Hamsun, Kafka). Cities have been recognized as sites for innovation and for speeding up technological solutions, infrastructure a</w:t>
      </w:r>
      <w:r w:rsidR="00CC6B6A">
        <w:rPr>
          <w:lang w:val="en-GB"/>
        </w:rPr>
        <w:t>nd social relations (Virilio). While t</w:t>
      </w:r>
      <w:r w:rsidR="0007435E">
        <w:rPr>
          <w:lang w:val="en-GB"/>
        </w:rPr>
        <w:t xml:space="preserve">hey are places for activity and exhaustion, </w:t>
      </w:r>
      <w:r w:rsidR="00CC6B6A">
        <w:rPr>
          <w:lang w:val="en-GB"/>
        </w:rPr>
        <w:t>yet</w:t>
      </w:r>
      <w:r w:rsidR="0007435E">
        <w:rPr>
          <w:lang w:val="en-GB"/>
        </w:rPr>
        <w:t xml:space="preserve"> city planners have always acknowledged the need for resting places as necessary conditions for a well-functioning city. Cities can thus be seen as places where rhythms of activity and rest, eng</w:t>
      </w:r>
      <w:r w:rsidR="00667A62">
        <w:rPr>
          <w:lang w:val="en-GB"/>
        </w:rPr>
        <w:t xml:space="preserve">agement and isolation, become </w:t>
      </w:r>
      <w:r w:rsidR="0007435E">
        <w:rPr>
          <w:lang w:val="en-GB"/>
        </w:rPr>
        <w:t>crucial question</w:t>
      </w:r>
      <w:r w:rsidR="00667A62">
        <w:rPr>
          <w:lang w:val="en-GB"/>
        </w:rPr>
        <w:t>s</w:t>
      </w:r>
      <w:r w:rsidR="0007435E">
        <w:rPr>
          <w:lang w:val="en-GB"/>
        </w:rPr>
        <w:t xml:space="preserve">. The </w:t>
      </w:r>
      <w:r w:rsidR="00273ECF">
        <w:rPr>
          <w:lang w:val="en-GB"/>
        </w:rPr>
        <w:t>topos of the city is characteris</w:t>
      </w:r>
      <w:r w:rsidR="0007435E">
        <w:rPr>
          <w:lang w:val="en-GB"/>
        </w:rPr>
        <w:t>ed by paradoxical dynamics: the crowd/loneliness, interaction/anonymity, speed/rest. Th</w:t>
      </w:r>
      <w:r w:rsidR="00273ECF">
        <w:rPr>
          <w:lang w:val="en-GB"/>
        </w:rPr>
        <w:t>e city has further been recognis</w:t>
      </w:r>
      <w:r w:rsidR="0007435E">
        <w:rPr>
          <w:lang w:val="en-GB"/>
        </w:rPr>
        <w:t>ed as a place where feudal family structures are challenged, and for experimenting with a huge variety of ways of living together, a major theme in 19</w:t>
      </w:r>
      <w:r w:rsidR="0007435E" w:rsidRPr="00235141">
        <w:rPr>
          <w:vertAlign w:val="superscript"/>
          <w:lang w:val="en-GB"/>
        </w:rPr>
        <w:t>th</w:t>
      </w:r>
      <w:r w:rsidR="0007435E">
        <w:rPr>
          <w:lang w:val="en-GB"/>
        </w:rPr>
        <w:t>, 20</w:t>
      </w:r>
      <w:r w:rsidR="0007435E" w:rsidRPr="00F32E62">
        <w:rPr>
          <w:vertAlign w:val="superscript"/>
          <w:lang w:val="en-GB"/>
        </w:rPr>
        <w:t>th</w:t>
      </w:r>
      <w:r w:rsidR="0007435E">
        <w:rPr>
          <w:lang w:val="en-GB"/>
        </w:rPr>
        <w:t>, and 21</w:t>
      </w:r>
      <w:r w:rsidR="0007435E" w:rsidRPr="00235141">
        <w:rPr>
          <w:vertAlign w:val="superscript"/>
          <w:lang w:val="en-GB"/>
        </w:rPr>
        <w:t>st</w:t>
      </w:r>
      <w:r w:rsidR="0007435E">
        <w:rPr>
          <w:lang w:val="en-GB"/>
        </w:rPr>
        <w:t xml:space="preserve"> Century fiction (e.g. Dickens, Balzac, Zola, Dosto</w:t>
      </w:r>
      <w:r w:rsidR="00187CD0">
        <w:rPr>
          <w:lang w:val="en-GB"/>
        </w:rPr>
        <w:t>ye</w:t>
      </w:r>
      <w:r w:rsidR="0007435E">
        <w:rPr>
          <w:lang w:val="en-GB"/>
        </w:rPr>
        <w:t xml:space="preserve">vsky, Döblin, Joyce, </w:t>
      </w:r>
      <w:r w:rsidR="0007435E" w:rsidRPr="00FA21A5">
        <w:rPr>
          <w:szCs w:val="24"/>
          <w:lang w:val="en-GB"/>
        </w:rPr>
        <w:t>Cole</w:t>
      </w:r>
      <w:r w:rsidR="0007435E">
        <w:rPr>
          <w:szCs w:val="24"/>
          <w:lang w:val="en-GB"/>
        </w:rPr>
        <w:t>, Auster).</w:t>
      </w:r>
      <w:r w:rsidR="0007435E">
        <w:rPr>
          <w:b/>
          <w:lang w:val="en-GB"/>
        </w:rPr>
        <w:t xml:space="preserve"> </w:t>
      </w:r>
      <w:r w:rsidR="0066616C">
        <w:rPr>
          <w:b/>
          <w:lang w:val="en-GB"/>
        </w:rPr>
        <w:t>Suggestive k</w:t>
      </w:r>
      <w:r w:rsidR="0007435E" w:rsidRPr="00135D53">
        <w:rPr>
          <w:b/>
          <w:lang w:val="en-GB"/>
        </w:rPr>
        <w:t>ey words: urbanity, food, media, ecology, r</w:t>
      </w:r>
      <w:r w:rsidR="0007435E">
        <w:rPr>
          <w:b/>
          <w:lang w:val="en-GB"/>
        </w:rPr>
        <w:t>h</w:t>
      </w:r>
      <w:r w:rsidR="0007435E" w:rsidRPr="00135D53">
        <w:rPr>
          <w:b/>
          <w:lang w:val="en-GB"/>
        </w:rPr>
        <w:t>ythms, finance, information, digital life, recreation</w:t>
      </w:r>
      <w:r w:rsidR="0007435E">
        <w:rPr>
          <w:b/>
          <w:lang w:val="en-GB"/>
        </w:rPr>
        <w:t>, anonymity, single life, dating.</w:t>
      </w:r>
    </w:p>
    <w:p w14:paraId="3089EBF3" w14:textId="77777777" w:rsidR="0007435E" w:rsidRPr="00FC2E45" w:rsidRDefault="0007435E" w:rsidP="00995952">
      <w:pPr>
        <w:rPr>
          <w:lang w:val="en-GB"/>
        </w:rPr>
      </w:pPr>
    </w:p>
    <w:p w14:paraId="362DA1EB" w14:textId="052986F1" w:rsidR="0007435E" w:rsidRDefault="00B2116D" w:rsidP="00995952">
      <w:pPr>
        <w:rPr>
          <w:lang w:val="en-GB"/>
        </w:rPr>
      </w:pPr>
      <w:r>
        <w:rPr>
          <w:lang w:val="en-GB"/>
        </w:rPr>
        <w:t>(5)</w:t>
      </w:r>
      <w:r w:rsidR="0007435E" w:rsidRPr="00B2116D">
        <w:rPr>
          <w:lang w:val="en-GB"/>
        </w:rPr>
        <w:t xml:space="preserve"> </w:t>
      </w:r>
      <w:r w:rsidR="0007435E" w:rsidRPr="00B2116D">
        <w:rPr>
          <w:bCs/>
          <w:lang w:val="en-GB"/>
        </w:rPr>
        <w:t>HOME</w:t>
      </w:r>
      <w:r w:rsidR="0007435E" w:rsidRPr="00B2116D">
        <w:rPr>
          <w:lang w:val="en-GB"/>
        </w:rPr>
        <w:t>.</w:t>
      </w:r>
      <w:r w:rsidR="0007435E">
        <w:rPr>
          <w:lang w:val="en-GB"/>
        </w:rPr>
        <w:t xml:space="preserve"> The topos of </w:t>
      </w:r>
      <w:r w:rsidR="0007435E">
        <w:rPr>
          <w:i/>
          <w:lang w:val="en-GB"/>
        </w:rPr>
        <w:t>home</w:t>
      </w:r>
      <w:r w:rsidR="0007435E">
        <w:rPr>
          <w:lang w:val="en-GB"/>
        </w:rPr>
        <w:t xml:space="preserve"> is wideranging, covering the everyday routines, family life </w:t>
      </w:r>
      <w:r w:rsidR="0058271D">
        <w:rPr>
          <w:lang w:val="en-GB"/>
        </w:rPr>
        <w:t>yet</w:t>
      </w:r>
      <w:r w:rsidR="0007435E">
        <w:rPr>
          <w:lang w:val="en-GB"/>
        </w:rPr>
        <w:t xml:space="preserve"> also, as metaphor, a place that provide</w:t>
      </w:r>
      <w:r w:rsidR="0058271D">
        <w:rPr>
          <w:lang w:val="en-GB"/>
        </w:rPr>
        <w:t>s</w:t>
      </w:r>
      <w:r w:rsidR="0007435E">
        <w:rPr>
          <w:lang w:val="en-GB"/>
        </w:rPr>
        <w:t xml:space="preserve"> a guarentee for identity, health, nutrition, shelter and security. In this sense, </w:t>
      </w:r>
      <w:r w:rsidR="0007435E">
        <w:rPr>
          <w:i/>
          <w:lang w:val="en-GB"/>
        </w:rPr>
        <w:t>home</w:t>
      </w:r>
      <w:r w:rsidR="0007435E">
        <w:rPr>
          <w:lang w:val="en-GB"/>
        </w:rPr>
        <w:t xml:space="preserve"> is close to the topoi of </w:t>
      </w:r>
      <w:r w:rsidR="0007435E">
        <w:rPr>
          <w:i/>
          <w:lang w:val="en-GB"/>
        </w:rPr>
        <w:t>island</w:t>
      </w:r>
      <w:r w:rsidR="0007435E">
        <w:rPr>
          <w:lang w:val="en-GB"/>
        </w:rPr>
        <w:t xml:space="preserve"> and </w:t>
      </w:r>
      <w:r w:rsidR="0007435E" w:rsidRPr="005E340B">
        <w:rPr>
          <w:i/>
          <w:lang w:val="en-GB"/>
        </w:rPr>
        <w:t>sanatorium</w:t>
      </w:r>
      <w:r w:rsidR="0007435E">
        <w:rPr>
          <w:lang w:val="en-GB"/>
        </w:rPr>
        <w:t xml:space="preserve">, and as metaphor it is also opposite to </w:t>
      </w:r>
      <w:r w:rsidR="0007435E">
        <w:rPr>
          <w:i/>
          <w:lang w:val="en-GB"/>
        </w:rPr>
        <w:t xml:space="preserve">city </w:t>
      </w:r>
      <w:r w:rsidR="0007435E">
        <w:rPr>
          <w:lang w:val="en-GB"/>
        </w:rPr>
        <w:t xml:space="preserve">and </w:t>
      </w:r>
      <w:r w:rsidR="0007435E" w:rsidRPr="008E0569">
        <w:rPr>
          <w:i/>
          <w:lang w:val="en-GB"/>
        </w:rPr>
        <w:t>desert</w:t>
      </w:r>
      <w:r w:rsidR="0007435E">
        <w:rPr>
          <w:lang w:val="en-GB"/>
        </w:rPr>
        <w:t xml:space="preserve">. Traditional food is one of the products of the </w:t>
      </w:r>
      <w:r w:rsidR="0007435E" w:rsidRPr="008E0569">
        <w:rPr>
          <w:i/>
          <w:lang w:val="en-GB"/>
        </w:rPr>
        <w:t>home</w:t>
      </w:r>
      <w:r w:rsidR="0007435E">
        <w:rPr>
          <w:lang w:val="en-GB"/>
        </w:rPr>
        <w:t xml:space="preserve">, and may be studied as a specific sort of </w:t>
      </w:r>
      <w:r w:rsidR="00CD0FC9">
        <w:rPr>
          <w:i/>
          <w:lang w:val="en-GB"/>
        </w:rPr>
        <w:t>the i</w:t>
      </w:r>
      <w:r w:rsidR="0007435E" w:rsidRPr="008E0569">
        <w:rPr>
          <w:i/>
          <w:lang w:val="en-GB"/>
        </w:rPr>
        <w:t>dior</w:t>
      </w:r>
      <w:r w:rsidR="0007435E">
        <w:rPr>
          <w:i/>
          <w:lang w:val="en-GB"/>
        </w:rPr>
        <w:t>rhythm</w:t>
      </w:r>
      <w:r w:rsidR="00CD0FC9">
        <w:rPr>
          <w:i/>
          <w:lang w:val="en-GB"/>
        </w:rPr>
        <w:t>ic</w:t>
      </w:r>
      <w:r w:rsidR="0007435E">
        <w:rPr>
          <w:lang w:val="en-GB"/>
        </w:rPr>
        <w:t xml:space="preserve">, linked to the notion of taste as both physical and cultural phenomenon. In Barthes’ research the home is also, in his reading of Gide, a place that may be the scene </w:t>
      </w:r>
      <w:r w:rsidR="00807CE8">
        <w:rPr>
          <w:lang w:val="en-GB"/>
        </w:rPr>
        <w:t>of a crime, that is, characteris</w:t>
      </w:r>
      <w:r w:rsidR="0007435E">
        <w:rPr>
          <w:lang w:val="en-GB"/>
        </w:rPr>
        <w:t xml:space="preserve">ed by the Freudian notion of the </w:t>
      </w:r>
      <w:r w:rsidR="0007435E">
        <w:rPr>
          <w:i/>
          <w:lang w:val="en-GB"/>
        </w:rPr>
        <w:t>Unheimlich</w:t>
      </w:r>
      <w:r w:rsidR="0007435E">
        <w:rPr>
          <w:lang w:val="en-GB"/>
        </w:rPr>
        <w:t xml:space="preserve">. In the center of </w:t>
      </w:r>
      <w:r w:rsidR="0007435E">
        <w:rPr>
          <w:i/>
          <w:lang w:val="en-GB"/>
        </w:rPr>
        <w:t>home</w:t>
      </w:r>
      <w:r w:rsidR="0007435E">
        <w:rPr>
          <w:lang w:val="en-GB"/>
        </w:rPr>
        <w:t xml:space="preserve"> is </w:t>
      </w:r>
      <w:r w:rsidR="0007435E" w:rsidRPr="006E7AEF">
        <w:rPr>
          <w:i/>
          <w:lang w:val="en-GB"/>
        </w:rPr>
        <w:t>the</w:t>
      </w:r>
      <w:r w:rsidR="0007435E">
        <w:rPr>
          <w:lang w:val="en-GB"/>
        </w:rPr>
        <w:t xml:space="preserve"> </w:t>
      </w:r>
      <w:r w:rsidR="0007435E" w:rsidRPr="00FC2E45">
        <w:rPr>
          <w:i/>
          <w:lang w:val="en-GB"/>
        </w:rPr>
        <w:t>idior</w:t>
      </w:r>
      <w:r w:rsidR="0007435E">
        <w:rPr>
          <w:i/>
          <w:lang w:val="en-GB"/>
        </w:rPr>
        <w:t>rhythm</w:t>
      </w:r>
      <w:r w:rsidR="006E7AEF">
        <w:rPr>
          <w:i/>
          <w:lang w:val="en-GB"/>
        </w:rPr>
        <w:t>ic</w:t>
      </w:r>
      <w:r w:rsidR="0007435E">
        <w:rPr>
          <w:lang w:val="en-GB"/>
        </w:rPr>
        <w:t xml:space="preserve"> of </w:t>
      </w:r>
      <w:r w:rsidR="0007435E" w:rsidRPr="005E340B">
        <w:rPr>
          <w:lang w:val="en-GB"/>
        </w:rPr>
        <w:t>shared</w:t>
      </w:r>
      <w:r w:rsidR="0007435E">
        <w:rPr>
          <w:lang w:val="en-GB"/>
        </w:rPr>
        <w:t xml:space="preserve"> life as well as the individual, single life forms. </w:t>
      </w:r>
      <w:r w:rsidR="0066616C">
        <w:rPr>
          <w:b/>
          <w:lang w:val="en-GB"/>
        </w:rPr>
        <w:t>Suggestive k</w:t>
      </w:r>
      <w:r w:rsidR="0007435E" w:rsidRPr="00765882">
        <w:rPr>
          <w:b/>
          <w:lang w:val="en-GB"/>
        </w:rPr>
        <w:t xml:space="preserve">ey words: the everyday, routines, food, </w:t>
      </w:r>
      <w:r w:rsidR="0007435E">
        <w:rPr>
          <w:b/>
          <w:lang w:val="en-GB"/>
        </w:rPr>
        <w:t xml:space="preserve">rest, </w:t>
      </w:r>
      <w:r w:rsidR="0007435E" w:rsidRPr="00765882">
        <w:rPr>
          <w:b/>
          <w:lang w:val="en-GB"/>
        </w:rPr>
        <w:t xml:space="preserve">taste, </w:t>
      </w:r>
      <w:r w:rsidR="0007435E">
        <w:rPr>
          <w:b/>
          <w:lang w:val="en-GB"/>
        </w:rPr>
        <w:t>solidarity.</w:t>
      </w:r>
    </w:p>
    <w:p w14:paraId="479D51E5" w14:textId="77777777" w:rsidR="00F87CEC" w:rsidRDefault="00F87CEC" w:rsidP="00995952">
      <w:pPr>
        <w:rPr>
          <w:lang w:val="en-GB"/>
        </w:rPr>
      </w:pPr>
    </w:p>
    <w:p w14:paraId="23B8F9A4" w14:textId="77777777" w:rsidR="00F36DDA" w:rsidRDefault="00F36DDA" w:rsidP="00995952">
      <w:pPr>
        <w:rPr>
          <w:b/>
          <w:lang w:val="en-GB"/>
        </w:rPr>
      </w:pPr>
    </w:p>
    <w:p w14:paraId="33F6E506" w14:textId="70305D15" w:rsidR="00AE61E1" w:rsidRDefault="00F87CEC" w:rsidP="00995952">
      <w:pPr>
        <w:rPr>
          <w:lang w:val="en-GB"/>
        </w:rPr>
      </w:pPr>
      <w:r>
        <w:rPr>
          <w:b/>
          <w:lang w:val="en-GB"/>
        </w:rPr>
        <w:t>Giorgio Agamben</w:t>
      </w:r>
      <w:r w:rsidR="005214B8">
        <w:rPr>
          <w:b/>
          <w:lang w:val="en-GB"/>
        </w:rPr>
        <w:t>; Jacques Derrida</w:t>
      </w:r>
      <w:r>
        <w:rPr>
          <w:b/>
          <w:lang w:val="en-GB"/>
        </w:rPr>
        <w:t>:</w:t>
      </w:r>
    </w:p>
    <w:p w14:paraId="799AE9A8" w14:textId="77777777" w:rsidR="00340A1F" w:rsidRDefault="00340A1F" w:rsidP="00AE61E1">
      <w:pPr>
        <w:rPr>
          <w:color w:val="FF0000"/>
          <w:lang w:val="en-GB"/>
        </w:rPr>
      </w:pPr>
    </w:p>
    <w:p w14:paraId="1921BE87" w14:textId="726BA999" w:rsidR="00AE61E1" w:rsidRDefault="00211EB5" w:rsidP="00AE61E1">
      <w:r>
        <w:t>The</w:t>
      </w:r>
      <w:r w:rsidR="00AE61E1">
        <w:t xml:space="preserve"> summer course’s broadly inclusive topic of Living Together also raises the question of t</w:t>
      </w:r>
      <w:r w:rsidR="00234414">
        <w:t>he status of the ’singularities’</w:t>
      </w:r>
      <w:r w:rsidR="00AE61E1">
        <w:t xml:space="preserve"> that in some form or way actually did, do or may live together. Whether individuals, human persons, members of a community; or bodies, biological entit</w:t>
      </w:r>
      <w:r>
        <w:t>ies or other forms of bare life; or linguistically communicating interlocutors</w:t>
      </w:r>
      <w:r w:rsidR="00AE1EE5">
        <w:t>, or linguistic beings performatively speech-acting, etc.</w:t>
      </w:r>
      <w:r w:rsidR="007F2BC6">
        <w:t xml:space="preserve"> –</w:t>
      </w:r>
      <w:r w:rsidR="00AE61E1">
        <w:t xml:space="preserve"> the question of the status of the “singularities” also actualises their being’s relation to</w:t>
      </w:r>
      <w:r w:rsidR="00B90B18">
        <w:t xml:space="preserve"> language and to</w:t>
      </w:r>
      <w:r w:rsidR="00AE61E1">
        <w:t xml:space="preserve"> the law and the subject positions endorsed, allotted or produced by the rights of law</w:t>
      </w:r>
      <w:r w:rsidR="00B90B18">
        <w:t>, and by language</w:t>
      </w:r>
      <w:r w:rsidR="00AE61E1">
        <w:t>. This makes some of Giorgio Agamben’s work highly topical and inspirationally relevant for our event</w:t>
      </w:r>
      <w:r w:rsidR="00B06050">
        <w:t>, as well as some of Jacques Derrida’s work.</w:t>
      </w:r>
    </w:p>
    <w:p w14:paraId="08292CE7" w14:textId="4BB235AC" w:rsidR="00AE61E1" w:rsidRDefault="00526582" w:rsidP="00526582">
      <w:pPr>
        <w:ind w:firstLine="720"/>
      </w:pPr>
      <w:r>
        <w:t>Among the works by Agamben that</w:t>
      </w:r>
      <w:r>
        <w:rPr>
          <w:sz w:val="20"/>
        </w:rPr>
        <w:t xml:space="preserve"> </w:t>
      </w:r>
      <w:r w:rsidR="006E1F8B">
        <w:t>bear</w:t>
      </w:r>
      <w:r w:rsidR="00AE61E1">
        <w:t xml:space="preserve"> </w:t>
      </w:r>
      <w:r w:rsidR="00AB0EAB">
        <w:t xml:space="preserve">particular </w:t>
      </w:r>
      <w:r w:rsidR="00AE61E1">
        <w:t xml:space="preserve">relevance for </w:t>
      </w:r>
      <w:r w:rsidR="005D4DA5">
        <w:t>the summer school</w:t>
      </w:r>
      <w:r w:rsidR="00AE61E1">
        <w:t xml:space="preserve"> event</w:t>
      </w:r>
      <w:r w:rsidR="005214B8">
        <w:t>,</w:t>
      </w:r>
      <w:r>
        <w:t xml:space="preserve"> are</w:t>
      </w:r>
      <w:r w:rsidR="00AE61E1">
        <w:t xml:space="preserve"> </w:t>
      </w:r>
      <w:r w:rsidR="00AE61E1" w:rsidRPr="00AE61E1">
        <w:rPr>
          <w:i/>
        </w:rPr>
        <w:t>The Coming Community</w:t>
      </w:r>
      <w:r w:rsidR="00AE61E1">
        <w:t xml:space="preserve"> ([1990] 1993); </w:t>
      </w:r>
      <w:r w:rsidR="00AE61E1" w:rsidRPr="00AE61E1">
        <w:rPr>
          <w:i/>
        </w:rPr>
        <w:t xml:space="preserve">Homo Sacer: Sovereign Power and Bare Life </w:t>
      </w:r>
      <w:r w:rsidR="00AE61E1">
        <w:t xml:space="preserve">([1995] 1998); </w:t>
      </w:r>
      <w:r w:rsidR="00AE61E1" w:rsidRPr="001944EB">
        <w:rPr>
          <w:i/>
        </w:rPr>
        <w:t>State of Exception</w:t>
      </w:r>
      <w:r w:rsidR="00AE61E1">
        <w:t xml:space="preserve"> ([2003] 2005); and </w:t>
      </w:r>
      <w:r w:rsidR="00AE61E1" w:rsidRPr="007D5837">
        <w:rPr>
          <w:i/>
        </w:rPr>
        <w:t>The Highest Poverty: Monastic Rules and Form-of-Life</w:t>
      </w:r>
      <w:r w:rsidR="00AE61E1">
        <w:t xml:space="preserve"> ([2011] 2013).</w:t>
      </w:r>
    </w:p>
    <w:p w14:paraId="6746EABE" w14:textId="39CE2037" w:rsidR="005214B8" w:rsidRDefault="006F0197" w:rsidP="00526582">
      <w:pPr>
        <w:ind w:firstLine="720"/>
      </w:pPr>
      <w:r>
        <w:t xml:space="preserve">Similarly, there is </w:t>
      </w:r>
      <w:r w:rsidR="00A40353">
        <w:t xml:space="preserve">a </w:t>
      </w:r>
      <w:r>
        <w:t xml:space="preserve">series of works by Jacques Derrida that come to mind in the perspective of the summer course’s topic, Living Together. Some of these might also prepare the ground for exciting comparison, as is the case </w:t>
      </w:r>
      <w:r w:rsidR="00BB6805">
        <w:t>with</w:t>
      </w:r>
      <w:r>
        <w:t xml:space="preserve"> Agamben</w:t>
      </w:r>
      <w:r w:rsidR="00BB6805">
        <w:t>’</w:t>
      </w:r>
      <w:r w:rsidR="00593544">
        <w:t>s</w:t>
      </w:r>
      <w:r w:rsidR="00BB6805">
        <w:t xml:space="preserve"> works</w:t>
      </w:r>
      <w:r>
        <w:t xml:space="preserve">. </w:t>
      </w:r>
      <w:r w:rsidR="00BB6805">
        <w:t>W</w:t>
      </w:r>
      <w:r>
        <w:t>hat has been referred to as an ’ethical’ turn</w:t>
      </w:r>
      <w:r w:rsidR="00BB6805">
        <w:t xml:space="preserve"> in Derrida’s production, introduced a period of fifteen years plus, during which time Derrida was particularly concerned with problems and promises related to living together. At a closer look, and as has also been contented, both an ’ethical’ and a ’political’ strand may prove to traject through all of his production.</w:t>
      </w:r>
    </w:p>
    <w:p w14:paraId="554E0228" w14:textId="228468BA" w:rsidR="00BB6805" w:rsidRDefault="00BB6805" w:rsidP="00526582">
      <w:pPr>
        <w:ind w:firstLine="720"/>
      </w:pPr>
      <w:r>
        <w:t xml:space="preserve">At any rate, Derrida during the latter part of his life, and still </w:t>
      </w:r>
      <w:r w:rsidR="001B272A">
        <w:t>’</w:t>
      </w:r>
      <w:r>
        <w:t>deconstructively</w:t>
      </w:r>
      <w:r w:rsidR="001B272A">
        <w:t>’</w:t>
      </w:r>
      <w:r>
        <w:t xml:space="preserve">, was highly concerned with topics such as </w:t>
      </w:r>
      <w:r w:rsidR="00251F80">
        <w:t>violence, subjection</w:t>
      </w:r>
      <w:r>
        <w:t xml:space="preserve"> and extinction</w:t>
      </w:r>
      <w:r w:rsidR="00251F80">
        <w:t xml:space="preserve">, death, loss, </w:t>
      </w:r>
      <w:r w:rsidR="001B272A">
        <w:t xml:space="preserve">memory, </w:t>
      </w:r>
      <w:r w:rsidR="00251F80">
        <w:t>mourning</w:t>
      </w:r>
      <w:r w:rsidR="006A1C89">
        <w:t>; furthermore, globalis</w:t>
      </w:r>
      <w:r w:rsidR="001B272A">
        <w:t xml:space="preserve">ation and cosmopolitanism; and not least, with topics such as forgiveness, </w:t>
      </w:r>
      <w:r w:rsidR="00044323">
        <w:t xml:space="preserve">responsibility, </w:t>
      </w:r>
      <w:r w:rsidR="001B272A">
        <w:t xml:space="preserve">friendship (as opposed to brotherhood), hospitality, </w:t>
      </w:r>
      <w:r w:rsidR="003E316F">
        <w:t xml:space="preserve">the gift, </w:t>
      </w:r>
      <w:r w:rsidR="001B272A">
        <w:t xml:space="preserve">as well as with a sustained thinking of the </w:t>
      </w:r>
      <w:r w:rsidR="00044323">
        <w:t>’</w:t>
      </w:r>
      <w:r w:rsidR="001B272A">
        <w:t>democracy to come</w:t>
      </w:r>
      <w:r w:rsidR="00044323">
        <w:t>’</w:t>
      </w:r>
      <w:r w:rsidR="001B272A">
        <w:t>.</w:t>
      </w:r>
      <w:r w:rsidR="009C5C0D">
        <w:t xml:space="preserve"> All of which are thought in radical fashion, and </w:t>
      </w:r>
      <w:r w:rsidR="006A1C89">
        <w:t>they</w:t>
      </w:r>
      <w:r w:rsidR="009C5C0D">
        <w:t xml:space="preserve"> seem to reverberate with topoi, topics and perspectives in both Barthes’ and Agamben</w:t>
      </w:r>
      <w:r w:rsidR="00837D4B">
        <w:t>’s work actualised here</w:t>
      </w:r>
      <w:r w:rsidR="00356EA1">
        <w:t>, and with the summer school’s main heading, Living Together.</w:t>
      </w:r>
    </w:p>
    <w:p w14:paraId="0175D187" w14:textId="5ACB85D4" w:rsidR="009C5C0D" w:rsidRPr="00BC4579" w:rsidRDefault="009C5C0D" w:rsidP="00526582">
      <w:pPr>
        <w:ind w:firstLine="720"/>
      </w:pPr>
      <w:r>
        <w:t xml:space="preserve">Among the works by Derrida that seem to bear particular relevance for </w:t>
      </w:r>
      <w:r w:rsidR="00C50591">
        <w:t>the summer school</w:t>
      </w:r>
      <w:r>
        <w:t xml:space="preserve"> event, are </w:t>
      </w:r>
      <w:r w:rsidRPr="007524E4">
        <w:rPr>
          <w:i/>
        </w:rPr>
        <w:t>The Work of Mourning</w:t>
      </w:r>
      <w:r>
        <w:t xml:space="preserve"> (1981</w:t>
      </w:r>
      <w:r w:rsidR="009B70DA">
        <w:t>; in which is included ”The Deaths of Roland Barthes”</w:t>
      </w:r>
      <w:r w:rsidR="00186C9A">
        <w:t>);</w:t>
      </w:r>
      <w:r>
        <w:t xml:space="preserve"> </w:t>
      </w:r>
      <w:r w:rsidR="004C53EF" w:rsidRPr="007524E4">
        <w:rPr>
          <w:i/>
        </w:rPr>
        <w:t xml:space="preserve">Memoires: For Paul de </w:t>
      </w:r>
      <w:r w:rsidR="004C53EF" w:rsidRPr="004C53EF">
        <w:t>Man</w:t>
      </w:r>
      <w:r w:rsidR="004C53EF">
        <w:t xml:space="preserve"> (1989); </w:t>
      </w:r>
      <w:r w:rsidR="00186C9A" w:rsidRPr="004C53EF">
        <w:rPr>
          <w:i/>
        </w:rPr>
        <w:t>The</w:t>
      </w:r>
      <w:r w:rsidR="00186C9A" w:rsidRPr="007524E4">
        <w:rPr>
          <w:i/>
        </w:rPr>
        <w:t xml:space="preserve"> Gift of Death</w:t>
      </w:r>
      <w:r w:rsidR="00186C9A">
        <w:t xml:space="preserve"> ([1991] 1995); </w:t>
      </w:r>
      <w:r w:rsidR="008768FC" w:rsidRPr="007524E4">
        <w:rPr>
          <w:i/>
        </w:rPr>
        <w:t>The Other Heading: Reflections on Today’s Europe</w:t>
      </w:r>
      <w:r w:rsidR="008768FC">
        <w:t xml:space="preserve"> ([1991] 1992); </w:t>
      </w:r>
      <w:r w:rsidR="008768FC" w:rsidRPr="007524E4">
        <w:rPr>
          <w:i/>
        </w:rPr>
        <w:t>The Politics of Friendship</w:t>
      </w:r>
      <w:r w:rsidR="008768FC">
        <w:t xml:space="preserve"> (1994); </w:t>
      </w:r>
      <w:r w:rsidR="00093E73">
        <w:rPr>
          <w:i/>
        </w:rPr>
        <w:t>Given Time:</w:t>
      </w:r>
      <w:r w:rsidR="006651F6" w:rsidRPr="007524E4">
        <w:rPr>
          <w:i/>
        </w:rPr>
        <w:t xml:space="preserve"> </w:t>
      </w:r>
      <w:r w:rsidR="00E04197">
        <w:rPr>
          <w:i/>
        </w:rPr>
        <w:t xml:space="preserve">I. </w:t>
      </w:r>
      <w:r w:rsidR="006651F6" w:rsidRPr="007524E4">
        <w:rPr>
          <w:i/>
        </w:rPr>
        <w:t>Counterfeit Money</w:t>
      </w:r>
      <w:r w:rsidR="006651F6">
        <w:t xml:space="preserve"> (1994); </w:t>
      </w:r>
      <w:r w:rsidR="00D05142" w:rsidRPr="00D05142">
        <w:rPr>
          <w:i/>
        </w:rPr>
        <w:t>Of Hospitality</w:t>
      </w:r>
      <w:r w:rsidR="00D05142">
        <w:t xml:space="preserve"> (2000); </w:t>
      </w:r>
      <w:r w:rsidR="001A5A26" w:rsidRPr="007524E4">
        <w:rPr>
          <w:i/>
        </w:rPr>
        <w:t>On Cosmopolitanism and Forgiveness</w:t>
      </w:r>
      <w:r w:rsidR="001A5A26">
        <w:t xml:space="preserve"> (2001); </w:t>
      </w:r>
      <w:r w:rsidR="00BC4579" w:rsidRPr="007524E4">
        <w:rPr>
          <w:i/>
        </w:rPr>
        <w:t>Rogues: Two Essays on Reason</w:t>
      </w:r>
      <w:r w:rsidR="00BC4579">
        <w:t xml:space="preserve"> (2005; in which is included</w:t>
      </w:r>
      <w:r w:rsidR="00B2084F">
        <w:t xml:space="preserve"> “The Last of the Rogue States: The ‘Democracy to Come’, Opening in Two Turns”).</w:t>
      </w:r>
    </w:p>
    <w:p w14:paraId="26A87B74" w14:textId="77777777" w:rsidR="005214B8" w:rsidRDefault="005214B8" w:rsidP="001B272A"/>
    <w:p w14:paraId="1BD7FE6D" w14:textId="7ED7D827" w:rsidR="00267464" w:rsidRDefault="00F36DDA" w:rsidP="006E1F8B">
      <w:r>
        <w:t xml:space="preserve">A note on suggestive key words for possible PhD student-paper topics: For the work of </w:t>
      </w:r>
      <w:r w:rsidR="00CA4627">
        <w:t>Gio</w:t>
      </w:r>
      <w:r w:rsidR="00267464">
        <w:t>rgio Agamben and</w:t>
      </w:r>
      <w:r>
        <w:t xml:space="preserve"> for that of</w:t>
      </w:r>
      <w:r w:rsidR="00267464">
        <w:t xml:space="preserve"> Jacques Derrida, our CfP</w:t>
      </w:r>
      <w:r>
        <w:t xml:space="preserve"> </w:t>
      </w:r>
      <w:r w:rsidR="00267464">
        <w:t xml:space="preserve">does </w:t>
      </w:r>
      <w:r>
        <w:t>it the other way round</w:t>
      </w:r>
      <w:r w:rsidR="00AB0EAB">
        <w:t xml:space="preserve"> with regard to the possible scope of inspiration</w:t>
      </w:r>
      <w:r w:rsidR="00267A2F">
        <w:t>: Beyond referring to relevant works</w:t>
      </w:r>
      <w:r w:rsidR="004F329B">
        <w:t xml:space="preserve"> by Agamben and Derrida</w:t>
      </w:r>
      <w:r w:rsidR="00267A2F">
        <w:t>, t</w:t>
      </w:r>
      <w:r>
        <w:t xml:space="preserve">he CfP does </w:t>
      </w:r>
      <w:r w:rsidR="00267464">
        <w:t xml:space="preserve">not list </w:t>
      </w:r>
      <w:r w:rsidR="00267A2F">
        <w:t xml:space="preserve">specified, </w:t>
      </w:r>
      <w:r w:rsidR="00267464">
        <w:t xml:space="preserve">suggestive topoi, perspectives and key words on a par with the </w:t>
      </w:r>
      <w:r w:rsidR="00F70898">
        <w:t xml:space="preserve">level of detail as </w:t>
      </w:r>
      <w:r>
        <w:t>in the case of</w:t>
      </w:r>
      <w:r w:rsidR="00F70898">
        <w:t xml:space="preserve"> Roland Barthes’</w:t>
      </w:r>
      <w:r>
        <w:t xml:space="preserve"> book. The idea is to</w:t>
      </w:r>
      <w:r w:rsidR="00AE021D">
        <w:t xml:space="preserve"> attempt to productively</w:t>
      </w:r>
      <w:r>
        <w:t xml:space="preserve"> mingle </w:t>
      </w:r>
      <w:r w:rsidR="00340A1F">
        <w:t>’</w:t>
      </w:r>
      <w:r>
        <w:t xml:space="preserve">two </w:t>
      </w:r>
      <w:r w:rsidR="00AE021D">
        <w:t>modi</w:t>
      </w:r>
      <w:r>
        <w:t xml:space="preserve"> of inspirational suggestivity</w:t>
      </w:r>
      <w:r w:rsidR="00340A1F">
        <w:t>’</w:t>
      </w:r>
      <w:r>
        <w:t xml:space="preserve"> – that of the organisers (</w:t>
      </w:r>
      <w:r w:rsidR="00267A2F">
        <w:t xml:space="preserve">’detailing’ </w:t>
      </w:r>
      <w:r>
        <w:t>Barthes) and</w:t>
      </w:r>
      <w:r w:rsidR="004F130D">
        <w:t xml:space="preserve"> </w:t>
      </w:r>
      <w:r>
        <w:t>that of the</w:t>
      </w:r>
      <w:r w:rsidR="00267A2F">
        <w:t xml:space="preserve"> enlisted participants (’detailing’ Agamben and</w:t>
      </w:r>
      <w:r>
        <w:t xml:space="preserve"> Derrida).</w:t>
      </w:r>
    </w:p>
    <w:p w14:paraId="3E1A2720" w14:textId="45EE02D3" w:rsidR="00D20C15" w:rsidRDefault="006F3743" w:rsidP="00995952">
      <w:r>
        <w:tab/>
        <w:t>Therefore, you</w:t>
      </w:r>
      <w:r w:rsidR="00340A1F">
        <w:t xml:space="preserve"> yourselves</w:t>
      </w:r>
      <w:r>
        <w:t xml:space="preserve"> are en</w:t>
      </w:r>
      <w:r w:rsidR="00694A1D">
        <w:t xml:space="preserve">couraged to productively select, work out and </w:t>
      </w:r>
      <w:r>
        <w:t>s</w:t>
      </w:r>
      <w:r w:rsidR="0001467F">
        <w:t xml:space="preserve">pecify </w:t>
      </w:r>
      <w:r w:rsidR="00CF7643">
        <w:t>’</w:t>
      </w:r>
      <w:r w:rsidR="0001467F">
        <w:t xml:space="preserve">living-together </w:t>
      </w:r>
      <w:r>
        <w:t>perspectives</w:t>
      </w:r>
      <w:r w:rsidR="00CF7643">
        <w:t>’</w:t>
      </w:r>
      <w:r w:rsidR="0001467F">
        <w:t xml:space="preserve"> on relevant </w:t>
      </w:r>
      <w:r w:rsidR="00EE17C2">
        <w:t>work</w:t>
      </w:r>
      <w:r w:rsidR="0001467F">
        <w:t xml:space="preserve"> </w:t>
      </w:r>
      <w:r w:rsidR="00FD67D8">
        <w:t>by</w:t>
      </w:r>
      <w:r w:rsidR="0001467F">
        <w:t xml:space="preserve"> Agamben</w:t>
      </w:r>
      <w:r w:rsidR="00340A1F">
        <w:t xml:space="preserve"> and Derrida</w:t>
      </w:r>
      <w:r w:rsidR="0001467F">
        <w:t>.</w:t>
      </w:r>
    </w:p>
    <w:p w14:paraId="56EF3424" w14:textId="77777777" w:rsidR="004721CF" w:rsidRDefault="004721CF" w:rsidP="00995952"/>
    <w:p w14:paraId="7612272D" w14:textId="7B6710ED" w:rsidR="0007435E" w:rsidRPr="004721CF" w:rsidRDefault="0056654F" w:rsidP="00995952">
      <w:pPr>
        <w:spacing w:before="360" w:after="120"/>
        <w:rPr>
          <w:rFonts w:ascii="TheSans B7 Bold" w:hAnsi="TheSans B7 Bold"/>
          <w:b/>
          <w:sz w:val="28"/>
          <w:szCs w:val="28"/>
          <w:lang w:val="en-GB"/>
        </w:rPr>
      </w:pPr>
      <w:r w:rsidRPr="004721CF">
        <w:rPr>
          <w:rFonts w:ascii="TheSans B7 Bold" w:hAnsi="TheSans B7 Bold"/>
          <w:b/>
          <w:sz w:val="28"/>
          <w:szCs w:val="28"/>
          <w:lang w:val="en-GB"/>
        </w:rPr>
        <w:t>Suggested R</w:t>
      </w:r>
      <w:r w:rsidR="00CE4921" w:rsidRPr="004721CF">
        <w:rPr>
          <w:rFonts w:ascii="TheSans B7 Bold" w:hAnsi="TheSans B7 Bold"/>
          <w:b/>
          <w:sz w:val="28"/>
          <w:szCs w:val="28"/>
          <w:lang w:val="en-GB"/>
        </w:rPr>
        <w:t>eading L</w:t>
      </w:r>
      <w:r w:rsidR="0007435E" w:rsidRPr="004721CF">
        <w:rPr>
          <w:rFonts w:ascii="TheSans B7 Bold" w:hAnsi="TheSans B7 Bold"/>
          <w:b/>
          <w:sz w:val="28"/>
          <w:szCs w:val="28"/>
          <w:lang w:val="en-GB"/>
        </w:rPr>
        <w:t>ist</w:t>
      </w:r>
    </w:p>
    <w:p w14:paraId="46B26FC1" w14:textId="1E14E400" w:rsidR="006060C6" w:rsidRPr="00565DC0" w:rsidRDefault="006060C6" w:rsidP="00B70A6C">
      <w:pPr>
        <w:ind w:left="720" w:hanging="720"/>
        <w:rPr>
          <w:sz w:val="18"/>
          <w:szCs w:val="18"/>
        </w:rPr>
      </w:pPr>
      <w:r w:rsidRPr="00CC7850">
        <w:rPr>
          <w:sz w:val="18"/>
          <w:szCs w:val="18"/>
        </w:rPr>
        <w:t xml:space="preserve">Agamben, Giorgio. </w:t>
      </w:r>
      <w:r w:rsidR="001944EB" w:rsidRPr="00CC7850">
        <w:rPr>
          <w:i/>
          <w:sz w:val="18"/>
          <w:szCs w:val="18"/>
        </w:rPr>
        <w:t>The</w:t>
      </w:r>
      <w:r w:rsidR="001944EB" w:rsidRPr="00565DC0">
        <w:rPr>
          <w:i/>
          <w:sz w:val="18"/>
          <w:szCs w:val="18"/>
        </w:rPr>
        <w:t xml:space="preserve"> Coming Community</w:t>
      </w:r>
      <w:r w:rsidR="001944EB" w:rsidRPr="00565DC0">
        <w:rPr>
          <w:sz w:val="18"/>
          <w:szCs w:val="18"/>
        </w:rPr>
        <w:t>. Transl. Michael Hardt. Minneapolis: University of Minnesota Press, [1990] 1993.</w:t>
      </w:r>
    </w:p>
    <w:p w14:paraId="236407EC" w14:textId="735234A5" w:rsidR="003B728C" w:rsidRPr="00D06F57" w:rsidRDefault="003B728C" w:rsidP="00B70A6C">
      <w:pPr>
        <w:ind w:left="720" w:hanging="720"/>
        <w:rPr>
          <w:sz w:val="18"/>
          <w:szCs w:val="18"/>
        </w:rPr>
      </w:pPr>
      <w:r w:rsidRPr="00565DC0">
        <w:rPr>
          <w:sz w:val="18"/>
          <w:szCs w:val="18"/>
        </w:rPr>
        <w:t xml:space="preserve">–––––––. </w:t>
      </w:r>
      <w:r w:rsidR="00565DC0" w:rsidRPr="00565DC0">
        <w:rPr>
          <w:i/>
          <w:sz w:val="18"/>
          <w:szCs w:val="18"/>
        </w:rPr>
        <w:t xml:space="preserve">Homo Sacer: Sovereign Power </w:t>
      </w:r>
      <w:r w:rsidR="00565DC0" w:rsidRPr="00D06F57">
        <w:rPr>
          <w:i/>
          <w:sz w:val="18"/>
          <w:szCs w:val="18"/>
        </w:rPr>
        <w:t>and Bare Life</w:t>
      </w:r>
      <w:r w:rsidR="00565DC0" w:rsidRPr="00D06F57">
        <w:rPr>
          <w:sz w:val="18"/>
          <w:szCs w:val="18"/>
        </w:rPr>
        <w:t>.</w:t>
      </w:r>
      <w:r w:rsidR="004D5477" w:rsidRPr="00D06F57">
        <w:rPr>
          <w:sz w:val="18"/>
          <w:szCs w:val="18"/>
        </w:rPr>
        <w:t xml:space="preserve"> Transl. Daniel Heller-Roazen.</w:t>
      </w:r>
      <w:r w:rsidR="00C71727" w:rsidRPr="00D06F57">
        <w:rPr>
          <w:sz w:val="18"/>
          <w:szCs w:val="18"/>
        </w:rPr>
        <w:t xml:space="preserve"> Stanford: Stanford University Press, [1995] 1998.</w:t>
      </w:r>
    </w:p>
    <w:p w14:paraId="6E650E15" w14:textId="61928A8F" w:rsidR="00443C80" w:rsidRPr="00D06F57" w:rsidRDefault="00443C80" w:rsidP="00B70A6C">
      <w:pPr>
        <w:ind w:left="720" w:hanging="720"/>
        <w:rPr>
          <w:sz w:val="18"/>
          <w:szCs w:val="18"/>
        </w:rPr>
      </w:pPr>
      <w:r w:rsidRPr="00D06F57">
        <w:rPr>
          <w:sz w:val="18"/>
          <w:szCs w:val="18"/>
        </w:rPr>
        <w:t xml:space="preserve">–––––––. </w:t>
      </w:r>
      <w:r w:rsidRPr="00D06F57">
        <w:rPr>
          <w:i/>
          <w:sz w:val="18"/>
          <w:szCs w:val="18"/>
        </w:rPr>
        <w:t>State of Exception</w:t>
      </w:r>
      <w:r w:rsidRPr="00D06F57">
        <w:rPr>
          <w:sz w:val="18"/>
          <w:szCs w:val="18"/>
        </w:rPr>
        <w:t>. Transl. Kevin Attell. Chicaho and London: University of Chicago Press, [2003] 2005.</w:t>
      </w:r>
    </w:p>
    <w:p w14:paraId="43665850" w14:textId="52A7DB30" w:rsidR="00D06F57" w:rsidRPr="00D06F57" w:rsidRDefault="00D06F57" w:rsidP="00D06F57">
      <w:pPr>
        <w:ind w:left="720" w:hanging="720"/>
        <w:rPr>
          <w:sz w:val="18"/>
          <w:szCs w:val="18"/>
        </w:rPr>
      </w:pPr>
      <w:r w:rsidRPr="00D06F57">
        <w:rPr>
          <w:sz w:val="18"/>
          <w:szCs w:val="18"/>
        </w:rPr>
        <w:t>–––––––.</w:t>
      </w:r>
      <w:r>
        <w:rPr>
          <w:sz w:val="18"/>
          <w:szCs w:val="18"/>
        </w:rPr>
        <w:t xml:space="preserve"> </w:t>
      </w:r>
      <w:r w:rsidRPr="00D06F57">
        <w:rPr>
          <w:i/>
          <w:sz w:val="18"/>
          <w:szCs w:val="18"/>
        </w:rPr>
        <w:t>The Highest Poverty: Monastic Rules and Form-of-Life</w:t>
      </w:r>
      <w:r>
        <w:rPr>
          <w:sz w:val="18"/>
          <w:szCs w:val="18"/>
        </w:rPr>
        <w:t>. Transl. Adam Kotsko. Stan</w:t>
      </w:r>
      <w:r w:rsidRPr="00D06F57">
        <w:rPr>
          <w:sz w:val="18"/>
          <w:szCs w:val="18"/>
        </w:rPr>
        <w:t>ford: Stanford University Press, [2011] 2013.</w:t>
      </w:r>
    </w:p>
    <w:p w14:paraId="64C6FE86" w14:textId="467620E5" w:rsidR="00B70A6C" w:rsidRPr="00D06F57" w:rsidRDefault="0007435E" w:rsidP="00B70A6C">
      <w:pPr>
        <w:ind w:left="720" w:hanging="720"/>
        <w:rPr>
          <w:sz w:val="18"/>
          <w:szCs w:val="18"/>
        </w:rPr>
      </w:pPr>
      <w:r w:rsidRPr="00D06F57">
        <w:rPr>
          <w:sz w:val="18"/>
          <w:szCs w:val="18"/>
        </w:rPr>
        <w:t xml:space="preserve">Anyuru, Johannes. </w:t>
      </w:r>
      <w:r w:rsidRPr="00D06F57">
        <w:rPr>
          <w:i/>
          <w:sz w:val="18"/>
          <w:szCs w:val="18"/>
        </w:rPr>
        <w:t xml:space="preserve">En Storm kom från paradiset </w:t>
      </w:r>
      <w:r w:rsidRPr="00D06F57">
        <w:rPr>
          <w:sz w:val="18"/>
          <w:szCs w:val="18"/>
        </w:rPr>
        <w:t>(2012). Stockholm: Norstedts, 2013.</w:t>
      </w:r>
    </w:p>
    <w:p w14:paraId="10EA164A" w14:textId="77777777" w:rsidR="0007435E" w:rsidRPr="00565DC0" w:rsidRDefault="0007435E" w:rsidP="00995952">
      <w:pPr>
        <w:ind w:left="720" w:hanging="720"/>
        <w:rPr>
          <w:rFonts w:eastAsiaTheme="minorEastAsia"/>
          <w:sz w:val="18"/>
          <w:szCs w:val="18"/>
        </w:rPr>
      </w:pPr>
      <w:r w:rsidRPr="00D06F57">
        <w:rPr>
          <w:rFonts w:eastAsiaTheme="minorEastAsia"/>
          <w:sz w:val="18"/>
          <w:szCs w:val="18"/>
        </w:rPr>
        <w:t>Bakhtin, M. "Forms of time and of the chronotope in the novel". In </w:t>
      </w:r>
      <w:r w:rsidRPr="00565DC0">
        <w:rPr>
          <w:rFonts w:eastAsiaTheme="minorEastAsia"/>
          <w:i/>
          <w:sz w:val="18"/>
          <w:szCs w:val="18"/>
        </w:rPr>
        <w:t>The Dialogic Imagination</w:t>
      </w:r>
      <w:r w:rsidRPr="00565DC0">
        <w:rPr>
          <w:rFonts w:eastAsiaTheme="minorEastAsia"/>
          <w:sz w:val="18"/>
          <w:szCs w:val="18"/>
        </w:rPr>
        <w:t>. Austin: Univ. Texas Press, 1981.</w:t>
      </w:r>
    </w:p>
    <w:p w14:paraId="7F65D145" w14:textId="77777777" w:rsidR="0007435E" w:rsidRPr="001944EB" w:rsidRDefault="0007435E" w:rsidP="00995952">
      <w:pPr>
        <w:ind w:left="720" w:hanging="720"/>
        <w:rPr>
          <w:sz w:val="18"/>
          <w:szCs w:val="18"/>
        </w:rPr>
      </w:pPr>
      <w:r w:rsidRPr="00565DC0">
        <w:rPr>
          <w:sz w:val="18"/>
          <w:szCs w:val="18"/>
        </w:rPr>
        <w:t xml:space="preserve">Barthes, Roland. </w:t>
      </w:r>
      <w:r w:rsidRPr="00565DC0">
        <w:rPr>
          <w:i/>
          <w:sz w:val="18"/>
          <w:szCs w:val="18"/>
        </w:rPr>
        <w:t>Comment</w:t>
      </w:r>
      <w:r w:rsidRPr="001944EB">
        <w:rPr>
          <w:i/>
          <w:sz w:val="18"/>
          <w:szCs w:val="18"/>
        </w:rPr>
        <w:t xml:space="preserve"> vivre ensemble. Simulations romanesques de quelques espaces quotidiens</w:t>
      </w:r>
      <w:r w:rsidRPr="001944EB">
        <w:rPr>
          <w:sz w:val="18"/>
          <w:szCs w:val="18"/>
        </w:rPr>
        <w:t>. Cours et séminaires au Collège de France (1976-1977). Paris: Seuil, 2002.</w:t>
      </w:r>
    </w:p>
    <w:p w14:paraId="001A53B5" w14:textId="276D139B" w:rsidR="0007435E" w:rsidRPr="001944EB" w:rsidRDefault="00CE49A3" w:rsidP="00995952">
      <w:pPr>
        <w:ind w:left="720" w:hanging="720"/>
        <w:rPr>
          <w:sz w:val="18"/>
          <w:szCs w:val="18"/>
        </w:rPr>
      </w:pPr>
      <w:r w:rsidRPr="001944EB">
        <w:rPr>
          <w:sz w:val="18"/>
          <w:szCs w:val="18"/>
        </w:rPr>
        <w:t>–––––––</w:t>
      </w:r>
      <w:r w:rsidR="0007435E" w:rsidRPr="001944EB">
        <w:rPr>
          <w:sz w:val="18"/>
          <w:szCs w:val="18"/>
        </w:rPr>
        <w:t xml:space="preserve">. </w:t>
      </w:r>
      <w:r w:rsidR="0007435E" w:rsidRPr="001944EB">
        <w:rPr>
          <w:i/>
          <w:sz w:val="18"/>
          <w:szCs w:val="18"/>
        </w:rPr>
        <w:t>How to Live Together: Novelistic Simulations of Some Everyday Spaces</w:t>
      </w:r>
      <w:r w:rsidR="00877659">
        <w:rPr>
          <w:sz w:val="18"/>
          <w:szCs w:val="18"/>
        </w:rPr>
        <w:t>. New York: Colu</w:t>
      </w:r>
      <w:r w:rsidR="0007435E" w:rsidRPr="001944EB">
        <w:rPr>
          <w:sz w:val="18"/>
          <w:szCs w:val="18"/>
        </w:rPr>
        <w:t>mbia UP, 2013.</w:t>
      </w:r>
    </w:p>
    <w:p w14:paraId="0D0A022D" w14:textId="77777777" w:rsidR="0007435E" w:rsidRPr="001944EB" w:rsidRDefault="0007435E" w:rsidP="00995952">
      <w:pPr>
        <w:ind w:left="720" w:hanging="720"/>
        <w:rPr>
          <w:sz w:val="18"/>
          <w:szCs w:val="18"/>
        </w:rPr>
      </w:pPr>
      <w:r w:rsidRPr="001944EB">
        <w:rPr>
          <w:sz w:val="18"/>
          <w:szCs w:val="18"/>
        </w:rPr>
        <w:t xml:space="preserve">Bourdieu, Pierre. </w:t>
      </w:r>
      <w:r w:rsidRPr="001944EB">
        <w:rPr>
          <w:i/>
          <w:sz w:val="18"/>
          <w:szCs w:val="18"/>
        </w:rPr>
        <w:t>La distinction. Critique sociale du jugement</w:t>
      </w:r>
      <w:r w:rsidRPr="001944EB">
        <w:rPr>
          <w:sz w:val="18"/>
          <w:szCs w:val="18"/>
        </w:rPr>
        <w:t>. Paris: Minuit, 1979,</w:t>
      </w:r>
    </w:p>
    <w:p w14:paraId="54022D66" w14:textId="77777777" w:rsidR="0007435E" w:rsidRPr="001944EB" w:rsidRDefault="0007435E" w:rsidP="00995952">
      <w:pPr>
        <w:ind w:left="720" w:hanging="720"/>
        <w:rPr>
          <w:sz w:val="18"/>
          <w:szCs w:val="18"/>
        </w:rPr>
      </w:pPr>
      <w:r w:rsidRPr="001944EB">
        <w:rPr>
          <w:sz w:val="18"/>
          <w:szCs w:val="18"/>
        </w:rPr>
        <w:t xml:space="preserve">Baudelaire, Charles. "Le Spleen de Paris", in: </w:t>
      </w:r>
      <w:r w:rsidRPr="001944EB">
        <w:rPr>
          <w:i/>
          <w:sz w:val="18"/>
          <w:szCs w:val="18"/>
        </w:rPr>
        <w:t>Œuvres Complètes</w:t>
      </w:r>
      <w:r w:rsidRPr="001944EB">
        <w:rPr>
          <w:sz w:val="18"/>
          <w:szCs w:val="18"/>
        </w:rPr>
        <w:t>, Tome 1. Paris: Gallimard/Bibliothèque de la Pléiade, 1975.</w:t>
      </w:r>
    </w:p>
    <w:p w14:paraId="72947AFC" w14:textId="77777777" w:rsidR="0007435E" w:rsidRPr="00E33FB7" w:rsidRDefault="0007435E" w:rsidP="00995952">
      <w:pPr>
        <w:ind w:left="720" w:hanging="720"/>
        <w:rPr>
          <w:sz w:val="18"/>
          <w:szCs w:val="18"/>
        </w:rPr>
      </w:pPr>
      <w:r w:rsidRPr="001944EB">
        <w:rPr>
          <w:sz w:val="18"/>
          <w:szCs w:val="18"/>
        </w:rPr>
        <w:t xml:space="preserve">Bauman, Zygmunt. </w:t>
      </w:r>
      <w:r w:rsidRPr="001944EB">
        <w:rPr>
          <w:i/>
          <w:sz w:val="18"/>
          <w:szCs w:val="18"/>
        </w:rPr>
        <w:t>Liquid Modernity</w:t>
      </w:r>
      <w:r w:rsidRPr="001944EB">
        <w:rPr>
          <w:sz w:val="18"/>
          <w:szCs w:val="18"/>
        </w:rPr>
        <w:t>. Cambridge</w:t>
      </w:r>
      <w:r>
        <w:rPr>
          <w:sz w:val="18"/>
          <w:szCs w:val="18"/>
        </w:rPr>
        <w:t xml:space="preserve">: </w:t>
      </w:r>
      <w:r w:rsidRPr="00E33FB7">
        <w:rPr>
          <w:sz w:val="18"/>
          <w:szCs w:val="18"/>
        </w:rPr>
        <w:t>Polity Press, 2000.</w:t>
      </w:r>
    </w:p>
    <w:p w14:paraId="453EF767" w14:textId="4579077C" w:rsidR="0007435E" w:rsidRPr="00E33FB7" w:rsidRDefault="0007435E" w:rsidP="00995952">
      <w:pPr>
        <w:ind w:left="720" w:hanging="720"/>
        <w:rPr>
          <w:sz w:val="18"/>
          <w:szCs w:val="18"/>
        </w:rPr>
      </w:pPr>
      <w:r w:rsidRPr="00E33FB7">
        <w:rPr>
          <w:sz w:val="18"/>
          <w:szCs w:val="18"/>
        </w:rPr>
        <w:t xml:space="preserve">Benjamin, Walter. </w:t>
      </w:r>
      <w:r w:rsidRPr="0058447B">
        <w:rPr>
          <w:i/>
          <w:sz w:val="18"/>
          <w:szCs w:val="18"/>
        </w:rPr>
        <w:t>The Writer o</w:t>
      </w:r>
      <w:r w:rsidR="00A54546">
        <w:rPr>
          <w:i/>
          <w:sz w:val="18"/>
          <w:szCs w:val="18"/>
        </w:rPr>
        <w:t>f</w:t>
      </w:r>
      <w:r w:rsidRPr="0058447B">
        <w:rPr>
          <w:i/>
          <w:sz w:val="18"/>
          <w:szCs w:val="18"/>
        </w:rPr>
        <w:t xml:space="preserve"> Modern Life. Essays on Charles Baudelaire</w:t>
      </w:r>
      <w:r w:rsidRPr="00E33FB7">
        <w:rPr>
          <w:sz w:val="18"/>
          <w:szCs w:val="18"/>
        </w:rPr>
        <w:t xml:space="preserve">. </w:t>
      </w:r>
      <w:r>
        <w:rPr>
          <w:sz w:val="18"/>
          <w:szCs w:val="18"/>
        </w:rPr>
        <w:t xml:space="preserve">Cambridge Mass.: </w:t>
      </w:r>
      <w:r w:rsidRPr="00E33FB7">
        <w:rPr>
          <w:sz w:val="18"/>
          <w:szCs w:val="18"/>
        </w:rPr>
        <w:t>Belknap Press, 2006.</w:t>
      </w:r>
    </w:p>
    <w:p w14:paraId="1BA60CF4" w14:textId="77777777" w:rsidR="0007435E" w:rsidRPr="00E33FB7" w:rsidRDefault="0007435E" w:rsidP="00995952">
      <w:pPr>
        <w:ind w:left="720" w:hanging="720"/>
        <w:rPr>
          <w:sz w:val="18"/>
          <w:szCs w:val="18"/>
        </w:rPr>
      </w:pPr>
      <w:r w:rsidRPr="00E33FB7">
        <w:rPr>
          <w:sz w:val="18"/>
          <w:szCs w:val="18"/>
        </w:rPr>
        <w:t xml:space="preserve">Berman, Marshall. </w:t>
      </w:r>
      <w:r w:rsidRPr="0058447B">
        <w:rPr>
          <w:i/>
          <w:sz w:val="18"/>
          <w:szCs w:val="18"/>
        </w:rPr>
        <w:t>All That is Solid Melts Into Air. The Experience of Modernity</w:t>
      </w:r>
      <w:r w:rsidRPr="00E33FB7">
        <w:rPr>
          <w:sz w:val="18"/>
          <w:szCs w:val="18"/>
        </w:rPr>
        <w:t>. Penguin Books, 1988.</w:t>
      </w:r>
    </w:p>
    <w:p w14:paraId="4C4B9AA5" w14:textId="77777777" w:rsidR="0007435E" w:rsidRPr="00E33FB7" w:rsidRDefault="0007435E" w:rsidP="00995952">
      <w:pPr>
        <w:ind w:left="720" w:hanging="720"/>
        <w:rPr>
          <w:sz w:val="18"/>
          <w:szCs w:val="18"/>
        </w:rPr>
      </w:pPr>
      <w:r w:rsidRPr="00E33FB7">
        <w:rPr>
          <w:sz w:val="18"/>
          <w:szCs w:val="18"/>
        </w:rPr>
        <w:t xml:space="preserve">Bhabha, Homi K. </w:t>
      </w:r>
      <w:r w:rsidRPr="0058447B">
        <w:rPr>
          <w:i/>
          <w:sz w:val="18"/>
          <w:szCs w:val="18"/>
        </w:rPr>
        <w:t>The Location of Culture</w:t>
      </w:r>
      <w:r w:rsidRPr="00E33FB7">
        <w:rPr>
          <w:sz w:val="18"/>
          <w:szCs w:val="18"/>
        </w:rPr>
        <w:t>. London: Routledge, 1994.</w:t>
      </w:r>
    </w:p>
    <w:p w14:paraId="0B789A04" w14:textId="77777777" w:rsidR="0007435E" w:rsidRPr="00071884" w:rsidRDefault="0007435E" w:rsidP="00995952">
      <w:pPr>
        <w:ind w:left="720" w:hanging="720"/>
        <w:rPr>
          <w:sz w:val="18"/>
          <w:szCs w:val="18"/>
        </w:rPr>
      </w:pPr>
      <w:r w:rsidRPr="00E33FB7">
        <w:rPr>
          <w:sz w:val="18"/>
          <w:szCs w:val="18"/>
        </w:rPr>
        <w:t>Certeau, Michel</w:t>
      </w:r>
      <w:r>
        <w:rPr>
          <w:sz w:val="18"/>
          <w:szCs w:val="18"/>
        </w:rPr>
        <w:t xml:space="preserve"> de</w:t>
      </w:r>
      <w:r w:rsidRPr="00E33FB7">
        <w:rPr>
          <w:sz w:val="18"/>
          <w:szCs w:val="18"/>
        </w:rPr>
        <w:t xml:space="preserve">. </w:t>
      </w:r>
      <w:r w:rsidRPr="0058447B">
        <w:rPr>
          <w:i/>
          <w:sz w:val="18"/>
          <w:szCs w:val="18"/>
        </w:rPr>
        <w:t>L'inve</w:t>
      </w:r>
      <w:r w:rsidRPr="00071884">
        <w:rPr>
          <w:i/>
          <w:sz w:val="18"/>
          <w:szCs w:val="18"/>
        </w:rPr>
        <w:t>ntion du quotidien II, habiter, cuisiner</w:t>
      </w:r>
      <w:r w:rsidRPr="00071884">
        <w:rPr>
          <w:sz w:val="18"/>
          <w:szCs w:val="18"/>
        </w:rPr>
        <w:t xml:space="preserve">. Paris: Gallimard,1994. </w:t>
      </w:r>
    </w:p>
    <w:p w14:paraId="2CB93869" w14:textId="77777777" w:rsidR="0007435E" w:rsidRPr="00071884" w:rsidRDefault="0007435E" w:rsidP="00995952">
      <w:pPr>
        <w:ind w:left="720" w:hanging="720"/>
        <w:rPr>
          <w:rFonts w:eastAsiaTheme="minorEastAsia"/>
          <w:sz w:val="18"/>
          <w:szCs w:val="18"/>
        </w:rPr>
      </w:pPr>
      <w:r w:rsidRPr="00071884">
        <w:rPr>
          <w:rFonts w:eastAsiaTheme="minorEastAsia"/>
          <w:sz w:val="18"/>
          <w:szCs w:val="18"/>
        </w:rPr>
        <w:t>Canguilhem, Georges. </w:t>
      </w:r>
      <w:r w:rsidRPr="00071884">
        <w:rPr>
          <w:rFonts w:eastAsiaTheme="minorEastAsia"/>
          <w:i/>
          <w:sz w:val="18"/>
          <w:szCs w:val="18"/>
        </w:rPr>
        <w:t>Le normal et le patologique</w:t>
      </w:r>
      <w:r w:rsidRPr="00071884">
        <w:rPr>
          <w:rFonts w:eastAsiaTheme="minorEastAsia"/>
          <w:sz w:val="18"/>
          <w:szCs w:val="18"/>
        </w:rPr>
        <w:t xml:space="preserve">, Paris: PUF 1966; </w:t>
      </w:r>
      <w:r w:rsidRPr="00071884">
        <w:rPr>
          <w:rFonts w:eastAsiaTheme="minorEastAsia"/>
          <w:i/>
          <w:sz w:val="18"/>
          <w:szCs w:val="18"/>
        </w:rPr>
        <w:t>The Normal and the Pathological.</w:t>
      </w:r>
      <w:r w:rsidRPr="00071884">
        <w:rPr>
          <w:rFonts w:eastAsiaTheme="minorEastAsia"/>
          <w:sz w:val="18"/>
          <w:szCs w:val="18"/>
        </w:rPr>
        <w:t xml:space="preserve"> New York: Zone,1991.</w:t>
      </w:r>
    </w:p>
    <w:p w14:paraId="58B5ED62" w14:textId="77777777" w:rsidR="0007435E" w:rsidRDefault="0007435E" w:rsidP="00995952">
      <w:pPr>
        <w:ind w:left="720" w:hanging="720"/>
        <w:rPr>
          <w:sz w:val="18"/>
          <w:szCs w:val="18"/>
        </w:rPr>
      </w:pPr>
      <w:r w:rsidRPr="00071884">
        <w:rPr>
          <w:sz w:val="18"/>
          <w:szCs w:val="18"/>
        </w:rPr>
        <w:t xml:space="preserve">Coles, Teju. </w:t>
      </w:r>
      <w:r w:rsidRPr="00071884">
        <w:rPr>
          <w:i/>
          <w:sz w:val="18"/>
          <w:szCs w:val="18"/>
        </w:rPr>
        <w:t>Open City</w:t>
      </w:r>
      <w:r w:rsidRPr="00071884">
        <w:rPr>
          <w:sz w:val="18"/>
          <w:szCs w:val="18"/>
        </w:rPr>
        <w:t>. London: Faber &amp; Faber, 2011.</w:t>
      </w:r>
    </w:p>
    <w:p w14:paraId="6B3BA007" w14:textId="77777777" w:rsidR="00147531" w:rsidRPr="00071884" w:rsidRDefault="00147531" w:rsidP="00147531">
      <w:pPr>
        <w:ind w:left="720" w:hanging="720"/>
        <w:rPr>
          <w:rFonts w:eastAsiaTheme="minorEastAsia"/>
          <w:sz w:val="18"/>
          <w:szCs w:val="18"/>
        </w:rPr>
      </w:pPr>
      <w:r w:rsidRPr="00071884">
        <w:rPr>
          <w:rFonts w:eastAsiaTheme="minorEastAsia"/>
          <w:sz w:val="18"/>
          <w:szCs w:val="18"/>
        </w:rPr>
        <w:t xml:space="preserve">Defoe, Daniel. </w:t>
      </w:r>
      <w:r w:rsidRPr="00071884">
        <w:rPr>
          <w:rFonts w:eastAsiaTheme="minorEastAsia"/>
          <w:i/>
          <w:sz w:val="18"/>
          <w:szCs w:val="18"/>
        </w:rPr>
        <w:t>Robinson Crusoe</w:t>
      </w:r>
      <w:r w:rsidRPr="00071884">
        <w:rPr>
          <w:rFonts w:eastAsiaTheme="minorEastAsia"/>
          <w:sz w:val="18"/>
          <w:szCs w:val="18"/>
        </w:rPr>
        <w:t xml:space="preserve"> [1719]. London: Penguin 1994</w:t>
      </w:r>
      <w:r>
        <w:rPr>
          <w:rFonts w:eastAsiaTheme="minorEastAsia"/>
          <w:sz w:val="18"/>
          <w:szCs w:val="18"/>
        </w:rPr>
        <w:t>.</w:t>
      </w:r>
      <w:r w:rsidRPr="00071884">
        <w:rPr>
          <w:rFonts w:eastAsiaTheme="minorEastAsia"/>
          <w:sz w:val="18"/>
          <w:szCs w:val="18"/>
        </w:rPr>
        <w:t> </w:t>
      </w:r>
    </w:p>
    <w:p w14:paraId="5A9B995B" w14:textId="44226E59" w:rsidR="00071884" w:rsidRPr="00071884" w:rsidRDefault="004B7013" w:rsidP="00071884">
      <w:pPr>
        <w:ind w:left="720" w:hanging="720"/>
        <w:rPr>
          <w:sz w:val="18"/>
          <w:szCs w:val="18"/>
        </w:rPr>
      </w:pPr>
      <w:r w:rsidRPr="00F75243">
        <w:rPr>
          <w:sz w:val="18"/>
          <w:szCs w:val="18"/>
        </w:rPr>
        <w:t xml:space="preserve">Derrida, Jacques. </w:t>
      </w:r>
      <w:r w:rsidR="00071884" w:rsidRPr="00F75243">
        <w:rPr>
          <w:i/>
          <w:sz w:val="18"/>
          <w:szCs w:val="18"/>
        </w:rPr>
        <w:t>The</w:t>
      </w:r>
      <w:r w:rsidR="00071884" w:rsidRPr="00071884">
        <w:rPr>
          <w:i/>
          <w:sz w:val="18"/>
          <w:szCs w:val="18"/>
        </w:rPr>
        <w:t xml:space="preserve"> Work of Mourning.</w:t>
      </w:r>
      <w:r w:rsidR="00071884" w:rsidRPr="00071884">
        <w:rPr>
          <w:sz w:val="18"/>
          <w:szCs w:val="18"/>
        </w:rPr>
        <w:t xml:space="preserve"> Ed. Pascale-Anne Brault and Michael Mann. Chicago: Chicago University Press, 1981.</w:t>
      </w:r>
    </w:p>
    <w:p w14:paraId="1E571F89" w14:textId="2154E5E2" w:rsidR="00071884" w:rsidRPr="00071884" w:rsidRDefault="00071884" w:rsidP="00071884">
      <w:pPr>
        <w:ind w:left="720" w:hanging="720"/>
        <w:rPr>
          <w:sz w:val="18"/>
          <w:szCs w:val="18"/>
        </w:rPr>
      </w:pPr>
      <w:r w:rsidRPr="001944EB">
        <w:rPr>
          <w:sz w:val="18"/>
          <w:szCs w:val="18"/>
        </w:rPr>
        <w:t>–––––––.</w:t>
      </w:r>
      <w:r>
        <w:rPr>
          <w:sz w:val="18"/>
          <w:szCs w:val="18"/>
        </w:rPr>
        <w:t xml:space="preserve"> </w:t>
      </w:r>
      <w:r w:rsidRPr="00071884">
        <w:rPr>
          <w:sz w:val="18"/>
          <w:szCs w:val="18"/>
        </w:rPr>
        <w:t xml:space="preserve">”The Deaths of Roland Barthes”. In </w:t>
      </w:r>
      <w:r w:rsidRPr="00071884">
        <w:rPr>
          <w:i/>
          <w:sz w:val="18"/>
          <w:szCs w:val="18"/>
        </w:rPr>
        <w:t>The Work of Mourning</w:t>
      </w:r>
      <w:r w:rsidRPr="00071884">
        <w:rPr>
          <w:sz w:val="18"/>
          <w:szCs w:val="18"/>
        </w:rPr>
        <w:t>. Ed. Pascale-Anne Brault and Michael Mann. Chicago: Chicago University Press, 1981. 31-68.</w:t>
      </w:r>
    </w:p>
    <w:p w14:paraId="31FBDCA6" w14:textId="1852392E" w:rsidR="00071884" w:rsidRPr="00071884" w:rsidRDefault="00071884" w:rsidP="00071884">
      <w:pPr>
        <w:ind w:left="720" w:hanging="720"/>
        <w:rPr>
          <w:sz w:val="18"/>
          <w:szCs w:val="18"/>
        </w:rPr>
      </w:pPr>
      <w:r w:rsidRPr="001944EB">
        <w:rPr>
          <w:sz w:val="18"/>
          <w:szCs w:val="18"/>
        </w:rPr>
        <w:t>–––––––.</w:t>
      </w:r>
      <w:r>
        <w:rPr>
          <w:sz w:val="18"/>
          <w:szCs w:val="18"/>
        </w:rPr>
        <w:t xml:space="preserve"> </w:t>
      </w:r>
      <w:r w:rsidRPr="00071884">
        <w:rPr>
          <w:i/>
          <w:sz w:val="18"/>
          <w:szCs w:val="18"/>
        </w:rPr>
        <w:t>Memoires: For Paul de Man.</w:t>
      </w:r>
      <w:r w:rsidRPr="00071884">
        <w:rPr>
          <w:sz w:val="18"/>
          <w:szCs w:val="18"/>
        </w:rPr>
        <w:t xml:space="preserve"> Transl. Lindsay, Culler, Cadava, and Kamuf. New York: Columbia University Press, 1989.</w:t>
      </w:r>
    </w:p>
    <w:p w14:paraId="2F11B090" w14:textId="31D848E6" w:rsidR="00071884" w:rsidRPr="00071884" w:rsidRDefault="00071884" w:rsidP="00071884">
      <w:pPr>
        <w:ind w:left="720" w:hanging="720"/>
        <w:rPr>
          <w:sz w:val="18"/>
          <w:szCs w:val="18"/>
        </w:rPr>
      </w:pPr>
      <w:r w:rsidRPr="001944EB">
        <w:rPr>
          <w:sz w:val="18"/>
          <w:szCs w:val="18"/>
        </w:rPr>
        <w:t>–––––––.</w:t>
      </w:r>
      <w:r>
        <w:rPr>
          <w:sz w:val="18"/>
          <w:szCs w:val="18"/>
        </w:rPr>
        <w:t xml:space="preserve"> </w:t>
      </w:r>
      <w:r w:rsidRPr="00071884">
        <w:rPr>
          <w:i/>
          <w:sz w:val="18"/>
          <w:szCs w:val="18"/>
        </w:rPr>
        <w:t>The Other Heading: Reflections on Today’s Europe.</w:t>
      </w:r>
      <w:r w:rsidRPr="00071884">
        <w:rPr>
          <w:sz w:val="18"/>
          <w:szCs w:val="18"/>
        </w:rPr>
        <w:t xml:space="preserve"> Transl. Pascale-Anne Brault, Michael B. Naas. Bloomington and Indianapolis: Indiana University Press, [1991] 1992.</w:t>
      </w:r>
    </w:p>
    <w:p w14:paraId="54AF49FF" w14:textId="06204DD6" w:rsidR="00071884" w:rsidRPr="00071884" w:rsidRDefault="00071884" w:rsidP="00071884">
      <w:pPr>
        <w:ind w:left="720" w:hanging="720"/>
        <w:rPr>
          <w:sz w:val="18"/>
          <w:szCs w:val="18"/>
        </w:rPr>
      </w:pPr>
      <w:r w:rsidRPr="001944EB">
        <w:rPr>
          <w:sz w:val="18"/>
          <w:szCs w:val="18"/>
        </w:rPr>
        <w:t>–––––––.</w:t>
      </w:r>
      <w:r>
        <w:rPr>
          <w:sz w:val="18"/>
          <w:szCs w:val="18"/>
        </w:rPr>
        <w:t xml:space="preserve"> </w:t>
      </w:r>
      <w:r w:rsidRPr="00071884">
        <w:rPr>
          <w:i/>
          <w:sz w:val="18"/>
          <w:szCs w:val="18"/>
        </w:rPr>
        <w:t>Given Time: I. Counterfeit Money.</w:t>
      </w:r>
      <w:r w:rsidRPr="00071884">
        <w:rPr>
          <w:sz w:val="18"/>
          <w:szCs w:val="18"/>
        </w:rPr>
        <w:t xml:space="preserve"> Transl. Kamuf. Chicago: Chicago University Press, 1992.</w:t>
      </w:r>
    </w:p>
    <w:p w14:paraId="63B692A0" w14:textId="3C6A2965" w:rsidR="00071884" w:rsidRPr="00071884" w:rsidRDefault="00071884" w:rsidP="00071884">
      <w:pPr>
        <w:ind w:left="720" w:hanging="720"/>
        <w:rPr>
          <w:sz w:val="18"/>
          <w:szCs w:val="18"/>
        </w:rPr>
      </w:pPr>
      <w:r w:rsidRPr="001944EB">
        <w:rPr>
          <w:sz w:val="18"/>
          <w:szCs w:val="18"/>
        </w:rPr>
        <w:t>–––––––.</w:t>
      </w:r>
      <w:r>
        <w:rPr>
          <w:sz w:val="18"/>
          <w:szCs w:val="18"/>
        </w:rPr>
        <w:t xml:space="preserve"> </w:t>
      </w:r>
      <w:r w:rsidRPr="00071884">
        <w:rPr>
          <w:i/>
          <w:sz w:val="18"/>
          <w:szCs w:val="18"/>
        </w:rPr>
        <w:t>The Politics of Friendship.</w:t>
      </w:r>
      <w:r w:rsidRPr="00071884">
        <w:rPr>
          <w:sz w:val="18"/>
          <w:szCs w:val="18"/>
        </w:rPr>
        <w:t xml:space="preserve"> Transl. George Collins. London and New York: Verso, 1994.</w:t>
      </w:r>
    </w:p>
    <w:p w14:paraId="6E23FFE7" w14:textId="7F8FCFE4" w:rsidR="00071884" w:rsidRPr="00071884" w:rsidRDefault="00071884" w:rsidP="00071884">
      <w:pPr>
        <w:ind w:left="720" w:hanging="720"/>
        <w:rPr>
          <w:sz w:val="18"/>
          <w:szCs w:val="18"/>
        </w:rPr>
      </w:pPr>
      <w:r w:rsidRPr="001944EB">
        <w:rPr>
          <w:sz w:val="18"/>
          <w:szCs w:val="18"/>
        </w:rPr>
        <w:t>–––––––.</w:t>
      </w:r>
      <w:r>
        <w:rPr>
          <w:sz w:val="18"/>
          <w:szCs w:val="18"/>
        </w:rPr>
        <w:t xml:space="preserve"> </w:t>
      </w:r>
      <w:r w:rsidRPr="00071884">
        <w:rPr>
          <w:i/>
          <w:sz w:val="18"/>
          <w:szCs w:val="18"/>
        </w:rPr>
        <w:t>The Gift of Death.</w:t>
      </w:r>
      <w:r w:rsidRPr="00071884">
        <w:rPr>
          <w:sz w:val="18"/>
          <w:szCs w:val="18"/>
        </w:rPr>
        <w:t xml:space="preserve"> Transl. Wills. Chicago: University of Chicago Press, [1991] 1995.</w:t>
      </w:r>
    </w:p>
    <w:p w14:paraId="761D43D1" w14:textId="3CF0D174" w:rsidR="00071884" w:rsidRPr="00071884" w:rsidRDefault="00071884" w:rsidP="00071884">
      <w:pPr>
        <w:ind w:left="720" w:hanging="720"/>
        <w:rPr>
          <w:sz w:val="18"/>
          <w:szCs w:val="18"/>
        </w:rPr>
      </w:pPr>
      <w:r w:rsidRPr="001944EB">
        <w:rPr>
          <w:sz w:val="18"/>
          <w:szCs w:val="18"/>
        </w:rPr>
        <w:t>–––––––.</w:t>
      </w:r>
      <w:r>
        <w:rPr>
          <w:sz w:val="18"/>
          <w:szCs w:val="18"/>
        </w:rPr>
        <w:t xml:space="preserve"> </w:t>
      </w:r>
      <w:r w:rsidRPr="00071884">
        <w:rPr>
          <w:i/>
          <w:sz w:val="18"/>
          <w:szCs w:val="18"/>
        </w:rPr>
        <w:t>Of Hospitality.</w:t>
      </w:r>
      <w:r w:rsidRPr="00071884">
        <w:rPr>
          <w:sz w:val="18"/>
          <w:szCs w:val="18"/>
        </w:rPr>
        <w:t xml:space="preserve"> Transl. Rachel Bowlby. Stanford, SUP, 2000.</w:t>
      </w:r>
    </w:p>
    <w:p w14:paraId="5BBF8F5A" w14:textId="00D8BED2" w:rsidR="00071884" w:rsidRPr="00071884" w:rsidRDefault="00071884" w:rsidP="00071884">
      <w:pPr>
        <w:ind w:left="720" w:hanging="720"/>
        <w:rPr>
          <w:sz w:val="18"/>
          <w:szCs w:val="18"/>
        </w:rPr>
      </w:pPr>
      <w:r w:rsidRPr="001944EB">
        <w:rPr>
          <w:sz w:val="18"/>
          <w:szCs w:val="18"/>
        </w:rPr>
        <w:t>–––––––.</w:t>
      </w:r>
      <w:r>
        <w:rPr>
          <w:sz w:val="18"/>
          <w:szCs w:val="18"/>
        </w:rPr>
        <w:t xml:space="preserve"> </w:t>
      </w:r>
      <w:r w:rsidRPr="00071884">
        <w:rPr>
          <w:i/>
          <w:sz w:val="18"/>
          <w:szCs w:val="18"/>
        </w:rPr>
        <w:t>On Cosmopolitanism and Forgiveness.</w:t>
      </w:r>
      <w:r w:rsidRPr="00071884">
        <w:rPr>
          <w:sz w:val="18"/>
          <w:szCs w:val="18"/>
        </w:rPr>
        <w:t xml:space="preserve"> London: Routledge, 2001</w:t>
      </w:r>
    </w:p>
    <w:p w14:paraId="479F9CA5" w14:textId="7A1931B7" w:rsidR="00071884" w:rsidRPr="00071884" w:rsidRDefault="00071884" w:rsidP="00071884">
      <w:pPr>
        <w:ind w:left="720" w:hanging="720"/>
        <w:rPr>
          <w:sz w:val="18"/>
          <w:szCs w:val="18"/>
        </w:rPr>
      </w:pPr>
      <w:r w:rsidRPr="001944EB">
        <w:rPr>
          <w:sz w:val="18"/>
          <w:szCs w:val="18"/>
        </w:rPr>
        <w:t>–––––––.</w:t>
      </w:r>
      <w:r>
        <w:rPr>
          <w:sz w:val="18"/>
          <w:szCs w:val="18"/>
        </w:rPr>
        <w:t xml:space="preserve"> </w:t>
      </w:r>
      <w:r w:rsidRPr="00071884">
        <w:rPr>
          <w:i/>
          <w:sz w:val="18"/>
          <w:szCs w:val="18"/>
        </w:rPr>
        <w:t>Rogues: Two Essays on Reason.</w:t>
      </w:r>
      <w:r w:rsidRPr="00071884">
        <w:rPr>
          <w:sz w:val="18"/>
          <w:szCs w:val="18"/>
        </w:rPr>
        <w:t xml:space="preserve"> Transl. Pascale-Anne Brault and Michael Naas. Stanford: Stanford University Press, 2005.</w:t>
      </w:r>
    </w:p>
    <w:p w14:paraId="6F484F98" w14:textId="7FEB03BF" w:rsidR="00071884" w:rsidRPr="00071884" w:rsidRDefault="00071884" w:rsidP="00071884">
      <w:pPr>
        <w:ind w:left="720" w:hanging="720"/>
        <w:rPr>
          <w:sz w:val="18"/>
          <w:szCs w:val="18"/>
        </w:rPr>
      </w:pPr>
      <w:r w:rsidRPr="001944EB">
        <w:rPr>
          <w:sz w:val="18"/>
          <w:szCs w:val="18"/>
        </w:rPr>
        <w:t>–––––––.</w:t>
      </w:r>
      <w:r>
        <w:rPr>
          <w:sz w:val="18"/>
          <w:szCs w:val="18"/>
        </w:rPr>
        <w:t xml:space="preserve"> </w:t>
      </w:r>
      <w:r w:rsidRPr="00071884">
        <w:rPr>
          <w:sz w:val="18"/>
          <w:szCs w:val="18"/>
        </w:rPr>
        <w:t xml:space="preserve">“The Last of the Rogue States: The ‘Democracy to Come’, Opening in Two Turns”. In: </w:t>
      </w:r>
      <w:r w:rsidRPr="00071884">
        <w:rPr>
          <w:i/>
          <w:sz w:val="18"/>
          <w:szCs w:val="18"/>
        </w:rPr>
        <w:t>Rogues: Two Essays on Reason.</w:t>
      </w:r>
      <w:r w:rsidRPr="00071884">
        <w:rPr>
          <w:sz w:val="18"/>
          <w:szCs w:val="18"/>
        </w:rPr>
        <w:t xml:space="preserve"> Transl. Pascale-Anne Brault and Michael Naas. Stanford: Stanford University Press, 2005. 78-94.</w:t>
      </w:r>
    </w:p>
    <w:p w14:paraId="5630249B" w14:textId="77777777" w:rsidR="0007435E" w:rsidRPr="00071884" w:rsidRDefault="0007435E" w:rsidP="00995952">
      <w:pPr>
        <w:ind w:left="720" w:hanging="720"/>
        <w:rPr>
          <w:rFonts w:eastAsiaTheme="minorEastAsia"/>
          <w:sz w:val="18"/>
          <w:szCs w:val="18"/>
        </w:rPr>
      </w:pPr>
      <w:r w:rsidRPr="00071884">
        <w:rPr>
          <w:rFonts w:eastAsiaTheme="minorEastAsia"/>
          <w:sz w:val="18"/>
          <w:szCs w:val="18"/>
        </w:rPr>
        <w:t xml:space="preserve">Foucault, Michel. </w:t>
      </w:r>
      <w:r w:rsidRPr="00071884">
        <w:rPr>
          <w:rFonts w:eastAsiaTheme="minorEastAsia"/>
          <w:i/>
          <w:sz w:val="18"/>
          <w:szCs w:val="18"/>
        </w:rPr>
        <w:t>Naissance de la clinique</w:t>
      </w:r>
      <w:r w:rsidRPr="00071884">
        <w:rPr>
          <w:rFonts w:eastAsiaTheme="minorEastAsia"/>
          <w:sz w:val="18"/>
          <w:szCs w:val="18"/>
        </w:rPr>
        <w:t>. Paris: Gallimard, 1963.</w:t>
      </w:r>
    </w:p>
    <w:p w14:paraId="0FF93FE7" w14:textId="77777777" w:rsidR="0007435E" w:rsidRDefault="0007435E" w:rsidP="00995952">
      <w:pPr>
        <w:ind w:left="720" w:hanging="720"/>
        <w:rPr>
          <w:rFonts w:eastAsiaTheme="minorEastAsia"/>
          <w:sz w:val="18"/>
          <w:szCs w:val="18"/>
        </w:rPr>
      </w:pPr>
      <w:r w:rsidRPr="00071884">
        <w:rPr>
          <w:rFonts w:eastAsiaTheme="minorEastAsia"/>
          <w:sz w:val="18"/>
          <w:szCs w:val="18"/>
        </w:rPr>
        <w:t xml:space="preserve">Gide, André. "La Séquestrée de Poitiers" [1930], in </w:t>
      </w:r>
      <w:r w:rsidRPr="00071884">
        <w:rPr>
          <w:rFonts w:eastAsiaTheme="minorEastAsia"/>
          <w:i/>
          <w:sz w:val="18"/>
          <w:szCs w:val="18"/>
        </w:rPr>
        <w:t xml:space="preserve">Ne jugez </w:t>
      </w:r>
      <w:r w:rsidRPr="0058447B">
        <w:rPr>
          <w:rFonts w:eastAsiaTheme="minorEastAsia"/>
          <w:i/>
          <w:sz w:val="18"/>
          <w:szCs w:val="18"/>
        </w:rPr>
        <w:t>pas</w:t>
      </w:r>
      <w:r w:rsidRPr="00E33FB7">
        <w:rPr>
          <w:rFonts w:eastAsiaTheme="minorEastAsia"/>
          <w:sz w:val="18"/>
          <w:szCs w:val="18"/>
        </w:rPr>
        <w:t>, Paris: Gallimard/NRF</w:t>
      </w:r>
      <w:r>
        <w:rPr>
          <w:rFonts w:eastAsiaTheme="minorEastAsia"/>
          <w:sz w:val="18"/>
          <w:szCs w:val="18"/>
        </w:rPr>
        <w:t>,</w:t>
      </w:r>
      <w:r w:rsidRPr="00E33FB7">
        <w:rPr>
          <w:rFonts w:eastAsiaTheme="minorEastAsia"/>
          <w:sz w:val="18"/>
          <w:szCs w:val="18"/>
        </w:rPr>
        <w:t xml:space="preserve"> 1969. </w:t>
      </w:r>
    </w:p>
    <w:p w14:paraId="131363CC" w14:textId="41989490" w:rsidR="00C2498B" w:rsidRPr="00E33FB7" w:rsidRDefault="00C2498B" w:rsidP="00995952">
      <w:pPr>
        <w:ind w:left="720" w:hanging="720"/>
        <w:rPr>
          <w:rFonts w:eastAsiaTheme="minorEastAsia"/>
          <w:sz w:val="18"/>
          <w:szCs w:val="18"/>
        </w:rPr>
      </w:pPr>
      <w:r>
        <w:rPr>
          <w:rFonts w:eastAsiaTheme="minorEastAsia"/>
          <w:sz w:val="18"/>
          <w:szCs w:val="18"/>
        </w:rPr>
        <w:t>–––––––. ”</w:t>
      </w:r>
      <w:r w:rsidR="00CE5CE4">
        <w:rPr>
          <w:rFonts w:eastAsiaTheme="minorEastAsia"/>
          <w:sz w:val="18"/>
          <w:szCs w:val="18"/>
        </w:rPr>
        <w:t>The Confined Woman of Poitiers</w:t>
      </w:r>
      <w:r>
        <w:rPr>
          <w:rFonts w:eastAsiaTheme="minorEastAsia"/>
          <w:sz w:val="18"/>
          <w:szCs w:val="18"/>
        </w:rPr>
        <w:t xml:space="preserve">”. In: </w:t>
      </w:r>
      <w:r w:rsidRPr="00940886">
        <w:rPr>
          <w:rFonts w:eastAsiaTheme="minorEastAsia"/>
          <w:i/>
          <w:sz w:val="18"/>
          <w:szCs w:val="18"/>
        </w:rPr>
        <w:t xml:space="preserve">Judge Not. </w:t>
      </w:r>
      <w:r w:rsidR="00940886">
        <w:rPr>
          <w:rFonts w:eastAsiaTheme="minorEastAsia"/>
          <w:sz w:val="18"/>
          <w:szCs w:val="18"/>
        </w:rPr>
        <w:t xml:space="preserve">Transl. Benjamin Ivry. </w:t>
      </w:r>
      <w:r>
        <w:rPr>
          <w:rFonts w:eastAsiaTheme="minorEastAsia"/>
          <w:sz w:val="18"/>
          <w:szCs w:val="18"/>
        </w:rPr>
        <w:t>Urbana an</w:t>
      </w:r>
      <w:r w:rsidR="00940886">
        <w:rPr>
          <w:rFonts w:eastAsiaTheme="minorEastAsia"/>
          <w:sz w:val="18"/>
          <w:szCs w:val="18"/>
        </w:rPr>
        <w:t>d Chicago: University of Illinois</w:t>
      </w:r>
      <w:r>
        <w:rPr>
          <w:rFonts w:eastAsiaTheme="minorEastAsia"/>
          <w:sz w:val="18"/>
          <w:szCs w:val="18"/>
        </w:rPr>
        <w:t xml:space="preserve"> Press, 2003.</w:t>
      </w:r>
    </w:p>
    <w:p w14:paraId="6815427A" w14:textId="77777777" w:rsidR="0007435E" w:rsidRPr="00707F50" w:rsidRDefault="0007435E" w:rsidP="00995952">
      <w:pPr>
        <w:ind w:left="720" w:hanging="720"/>
        <w:rPr>
          <w:rFonts w:eastAsiaTheme="minorEastAsia"/>
          <w:sz w:val="18"/>
          <w:szCs w:val="18"/>
        </w:rPr>
      </w:pPr>
      <w:r w:rsidRPr="00E33FB7">
        <w:rPr>
          <w:rFonts w:eastAsiaTheme="minorEastAsia"/>
          <w:sz w:val="18"/>
          <w:szCs w:val="18"/>
        </w:rPr>
        <w:t>Goffman, E</w:t>
      </w:r>
      <w:r>
        <w:rPr>
          <w:rFonts w:eastAsiaTheme="minorEastAsia"/>
          <w:sz w:val="18"/>
          <w:szCs w:val="18"/>
        </w:rPr>
        <w:t>rving</w:t>
      </w:r>
      <w:r w:rsidRPr="00E33FB7">
        <w:rPr>
          <w:rFonts w:eastAsiaTheme="minorEastAsia"/>
          <w:sz w:val="18"/>
          <w:szCs w:val="18"/>
        </w:rPr>
        <w:t>. </w:t>
      </w:r>
      <w:r w:rsidRPr="0058447B">
        <w:rPr>
          <w:rFonts w:eastAsiaTheme="minorEastAsia"/>
          <w:i/>
          <w:sz w:val="18"/>
          <w:szCs w:val="18"/>
        </w:rPr>
        <w:t>Asylums:</w:t>
      </w:r>
      <w:r w:rsidRPr="00E33FB7">
        <w:rPr>
          <w:rFonts w:eastAsiaTheme="minorEastAsia"/>
          <w:sz w:val="18"/>
          <w:szCs w:val="18"/>
        </w:rPr>
        <w:t xml:space="preserve"> </w:t>
      </w:r>
      <w:r w:rsidRPr="0058447B">
        <w:rPr>
          <w:rFonts w:eastAsiaTheme="minorEastAsia"/>
          <w:i/>
          <w:sz w:val="18"/>
          <w:szCs w:val="18"/>
        </w:rPr>
        <w:t xml:space="preserve">Essays on the Social </w:t>
      </w:r>
      <w:r w:rsidRPr="00707F50">
        <w:rPr>
          <w:rFonts w:eastAsiaTheme="minorEastAsia"/>
          <w:i/>
          <w:sz w:val="18"/>
          <w:szCs w:val="18"/>
        </w:rPr>
        <w:t>Situation of Mental Patients and Other Inmates</w:t>
      </w:r>
      <w:r w:rsidRPr="00707F50">
        <w:rPr>
          <w:rFonts w:eastAsiaTheme="minorEastAsia"/>
          <w:sz w:val="18"/>
          <w:szCs w:val="18"/>
        </w:rPr>
        <w:t>. New York: Anchor Books, 1991.</w:t>
      </w:r>
    </w:p>
    <w:p w14:paraId="12A4400E" w14:textId="77777777" w:rsidR="0007435E" w:rsidRPr="00707F50" w:rsidRDefault="0007435E" w:rsidP="00995952">
      <w:pPr>
        <w:ind w:left="720" w:hanging="720"/>
        <w:rPr>
          <w:rFonts w:eastAsiaTheme="minorEastAsia"/>
          <w:sz w:val="18"/>
          <w:szCs w:val="18"/>
        </w:rPr>
      </w:pPr>
      <w:r w:rsidRPr="00707F50">
        <w:rPr>
          <w:rFonts w:eastAsiaTheme="minorEastAsia"/>
          <w:sz w:val="18"/>
          <w:szCs w:val="18"/>
        </w:rPr>
        <w:t xml:space="preserve">Lefebvre, Henri. </w:t>
      </w:r>
      <w:r w:rsidRPr="002949EF">
        <w:rPr>
          <w:i/>
          <w:iCs/>
          <w:sz w:val="18"/>
          <w:szCs w:val="18"/>
        </w:rPr>
        <w:t>Critique de la vie quotidienne</w:t>
      </w:r>
      <w:r w:rsidRPr="002949EF">
        <w:rPr>
          <w:iCs/>
          <w:sz w:val="18"/>
          <w:szCs w:val="18"/>
        </w:rPr>
        <w:t>. Paris:</w:t>
      </w:r>
      <w:r w:rsidRPr="002949EF">
        <w:rPr>
          <w:sz w:val="18"/>
          <w:szCs w:val="18"/>
        </w:rPr>
        <w:t xml:space="preserve"> L'Arche, 1947.</w:t>
      </w:r>
    </w:p>
    <w:p w14:paraId="423A049F" w14:textId="77777777" w:rsidR="0007435E" w:rsidRDefault="0007435E" w:rsidP="00995952">
      <w:pPr>
        <w:ind w:left="720" w:hanging="720"/>
        <w:rPr>
          <w:rFonts w:eastAsiaTheme="minorEastAsia"/>
          <w:sz w:val="18"/>
          <w:szCs w:val="18"/>
        </w:rPr>
      </w:pPr>
      <w:r w:rsidRPr="002949EF">
        <w:rPr>
          <w:rFonts w:eastAsiaTheme="minorEastAsia"/>
          <w:sz w:val="18"/>
          <w:szCs w:val="18"/>
        </w:rPr>
        <w:t xml:space="preserve">Mann, Thomas. </w:t>
      </w:r>
      <w:r w:rsidRPr="002949EF">
        <w:rPr>
          <w:rFonts w:eastAsiaTheme="minorEastAsia"/>
          <w:i/>
          <w:sz w:val="18"/>
          <w:szCs w:val="18"/>
        </w:rPr>
        <w:t>Der Zauberberg</w:t>
      </w:r>
      <w:r w:rsidRPr="002949EF">
        <w:rPr>
          <w:rFonts w:eastAsiaTheme="minorEastAsia"/>
          <w:sz w:val="18"/>
          <w:szCs w:val="18"/>
        </w:rPr>
        <w:t xml:space="preserve"> [1929]. Frankfurt am Main: Fischer, 1998. </w:t>
      </w:r>
    </w:p>
    <w:p w14:paraId="57FB831E" w14:textId="25202486" w:rsidR="00600181" w:rsidRPr="002949EF" w:rsidRDefault="00600181" w:rsidP="00995952">
      <w:pPr>
        <w:ind w:left="720" w:hanging="720"/>
        <w:rPr>
          <w:rFonts w:eastAsiaTheme="minorEastAsia"/>
          <w:sz w:val="18"/>
          <w:szCs w:val="18"/>
        </w:rPr>
      </w:pPr>
      <w:r>
        <w:rPr>
          <w:rFonts w:eastAsiaTheme="minorEastAsia"/>
          <w:sz w:val="18"/>
          <w:szCs w:val="18"/>
        </w:rPr>
        <w:t xml:space="preserve">–––––––. </w:t>
      </w:r>
      <w:r w:rsidRPr="00600181">
        <w:rPr>
          <w:rFonts w:eastAsiaTheme="minorEastAsia"/>
          <w:i/>
          <w:sz w:val="18"/>
          <w:szCs w:val="18"/>
        </w:rPr>
        <w:t>The Magic Mountain.</w:t>
      </w:r>
      <w:r>
        <w:rPr>
          <w:rFonts w:eastAsiaTheme="minorEastAsia"/>
          <w:sz w:val="18"/>
          <w:szCs w:val="18"/>
        </w:rPr>
        <w:t xml:space="preserve"> Transl.</w:t>
      </w:r>
      <w:r w:rsidR="00320156">
        <w:rPr>
          <w:rFonts w:eastAsiaTheme="minorEastAsia"/>
          <w:sz w:val="18"/>
          <w:szCs w:val="18"/>
        </w:rPr>
        <w:t xml:space="preserve"> John Edwin Woods. New York: A. </w:t>
      </w:r>
      <w:r>
        <w:rPr>
          <w:rFonts w:eastAsiaTheme="minorEastAsia"/>
          <w:sz w:val="18"/>
          <w:szCs w:val="18"/>
        </w:rPr>
        <w:t>A. Knopf, 2005.</w:t>
      </w:r>
    </w:p>
    <w:p w14:paraId="46D00FB1" w14:textId="41CBB0BF" w:rsidR="0007435E" w:rsidRPr="002949EF" w:rsidRDefault="0007435E" w:rsidP="00995952">
      <w:pPr>
        <w:ind w:left="720" w:hanging="720"/>
        <w:rPr>
          <w:rFonts w:eastAsiaTheme="minorEastAsia"/>
          <w:sz w:val="18"/>
          <w:szCs w:val="18"/>
        </w:rPr>
      </w:pPr>
      <w:r w:rsidRPr="002949EF">
        <w:rPr>
          <w:rFonts w:eastAsiaTheme="minorEastAsia"/>
          <w:sz w:val="18"/>
          <w:szCs w:val="18"/>
        </w:rPr>
        <w:t xml:space="preserve">Palladius. </w:t>
      </w:r>
      <w:r w:rsidRPr="002949EF">
        <w:rPr>
          <w:rFonts w:eastAsiaTheme="minorEastAsia"/>
          <w:i/>
          <w:sz w:val="18"/>
          <w:szCs w:val="18"/>
        </w:rPr>
        <w:t>The Lausiac History</w:t>
      </w:r>
      <w:r w:rsidRPr="002949EF">
        <w:rPr>
          <w:rFonts w:eastAsiaTheme="minorEastAsia"/>
          <w:sz w:val="18"/>
          <w:szCs w:val="18"/>
        </w:rPr>
        <w:t xml:space="preserve"> [AD 423]. New York: Newman Press, 1998</w:t>
      </w:r>
      <w:r w:rsidR="00CE49A3">
        <w:rPr>
          <w:rFonts w:eastAsiaTheme="minorEastAsia"/>
          <w:sz w:val="18"/>
          <w:szCs w:val="18"/>
        </w:rPr>
        <w:t>.</w:t>
      </w:r>
      <w:r w:rsidRPr="002949EF">
        <w:rPr>
          <w:rFonts w:eastAsiaTheme="minorEastAsia"/>
          <w:sz w:val="18"/>
          <w:szCs w:val="18"/>
        </w:rPr>
        <w:t xml:space="preserve"> </w:t>
      </w:r>
    </w:p>
    <w:p w14:paraId="36F6E187" w14:textId="3E485658" w:rsidR="0007435E" w:rsidRDefault="0007435E" w:rsidP="00995952">
      <w:pPr>
        <w:ind w:left="720" w:hanging="720"/>
        <w:rPr>
          <w:sz w:val="18"/>
          <w:szCs w:val="18"/>
        </w:rPr>
      </w:pPr>
      <w:r>
        <w:rPr>
          <w:sz w:val="18"/>
          <w:szCs w:val="18"/>
        </w:rPr>
        <w:t xml:space="preserve">Pfaller, Robert. </w:t>
      </w:r>
      <w:r w:rsidRPr="002949EF">
        <w:rPr>
          <w:i/>
          <w:sz w:val="18"/>
          <w:szCs w:val="18"/>
        </w:rPr>
        <w:t>On the pleasure principle in Culture: Illusions without owners</w:t>
      </w:r>
      <w:r>
        <w:rPr>
          <w:sz w:val="18"/>
          <w:szCs w:val="18"/>
        </w:rPr>
        <w:t>. London: Verso 2014</w:t>
      </w:r>
      <w:r w:rsidR="00CE49A3">
        <w:rPr>
          <w:sz w:val="18"/>
          <w:szCs w:val="18"/>
        </w:rPr>
        <w:t>.</w:t>
      </w:r>
    </w:p>
    <w:p w14:paraId="3836C4EC" w14:textId="77777777" w:rsidR="0007435E" w:rsidRPr="00707F50" w:rsidRDefault="0007435E" w:rsidP="00995952">
      <w:pPr>
        <w:ind w:left="720" w:hanging="720"/>
        <w:rPr>
          <w:sz w:val="18"/>
          <w:szCs w:val="18"/>
        </w:rPr>
      </w:pPr>
      <w:r w:rsidRPr="00707F50">
        <w:rPr>
          <w:sz w:val="18"/>
          <w:szCs w:val="18"/>
        </w:rPr>
        <w:t xml:space="preserve">Rabinowich, Julya. </w:t>
      </w:r>
      <w:r w:rsidRPr="00707F50">
        <w:rPr>
          <w:i/>
          <w:sz w:val="18"/>
          <w:szCs w:val="18"/>
        </w:rPr>
        <w:t>Spaltkopf: Roman</w:t>
      </w:r>
      <w:r w:rsidRPr="00707F50">
        <w:rPr>
          <w:sz w:val="18"/>
          <w:szCs w:val="18"/>
        </w:rPr>
        <w:t>. Wien: Deuticke Verlag, 2008.</w:t>
      </w:r>
    </w:p>
    <w:p w14:paraId="282D5326" w14:textId="77777777" w:rsidR="0007435E" w:rsidRPr="00B70A6C" w:rsidRDefault="0007435E" w:rsidP="00995952">
      <w:pPr>
        <w:ind w:left="720" w:hanging="720"/>
        <w:rPr>
          <w:sz w:val="18"/>
          <w:szCs w:val="18"/>
        </w:rPr>
      </w:pPr>
      <w:r w:rsidRPr="00E33FB7">
        <w:rPr>
          <w:sz w:val="18"/>
          <w:szCs w:val="18"/>
        </w:rPr>
        <w:t xml:space="preserve">Sassen, Saskia. </w:t>
      </w:r>
      <w:r w:rsidRPr="0058447B">
        <w:rPr>
          <w:i/>
          <w:sz w:val="18"/>
          <w:szCs w:val="18"/>
        </w:rPr>
        <w:t>The Global City</w:t>
      </w:r>
      <w:r>
        <w:rPr>
          <w:sz w:val="18"/>
          <w:szCs w:val="18"/>
        </w:rPr>
        <w:t>.</w:t>
      </w:r>
      <w:r w:rsidRPr="00E33FB7">
        <w:rPr>
          <w:sz w:val="18"/>
          <w:szCs w:val="18"/>
        </w:rPr>
        <w:t xml:space="preserve"> New York: </w:t>
      </w:r>
      <w:r w:rsidRPr="00B70A6C">
        <w:rPr>
          <w:sz w:val="18"/>
          <w:szCs w:val="18"/>
        </w:rPr>
        <w:t>Princeton Univ. Press, 2001.</w:t>
      </w:r>
    </w:p>
    <w:p w14:paraId="6DDBA23B" w14:textId="77777777" w:rsidR="0007435E" w:rsidRPr="00B70A6C" w:rsidRDefault="0007435E" w:rsidP="00995952">
      <w:pPr>
        <w:ind w:left="720" w:hanging="720"/>
        <w:rPr>
          <w:sz w:val="18"/>
          <w:szCs w:val="18"/>
        </w:rPr>
      </w:pPr>
      <w:r w:rsidRPr="00B70A6C">
        <w:rPr>
          <w:sz w:val="18"/>
          <w:szCs w:val="18"/>
        </w:rPr>
        <w:t xml:space="preserve">Selvon, Sam. </w:t>
      </w:r>
      <w:r w:rsidRPr="00B70A6C">
        <w:rPr>
          <w:i/>
          <w:sz w:val="18"/>
          <w:szCs w:val="18"/>
        </w:rPr>
        <w:t>The Lonely Londoners</w:t>
      </w:r>
      <w:r w:rsidRPr="00B70A6C">
        <w:rPr>
          <w:sz w:val="18"/>
          <w:szCs w:val="18"/>
        </w:rPr>
        <w:t>. London: Penguin, 2006.</w:t>
      </w:r>
    </w:p>
    <w:p w14:paraId="6779099B" w14:textId="3AB4910C" w:rsidR="00B70A6C" w:rsidRPr="00B70A6C" w:rsidRDefault="00B70A6C" w:rsidP="00995952">
      <w:pPr>
        <w:ind w:left="720" w:hanging="720"/>
        <w:rPr>
          <w:sz w:val="18"/>
          <w:szCs w:val="18"/>
        </w:rPr>
      </w:pPr>
      <w:r w:rsidRPr="00B70A6C">
        <w:rPr>
          <w:sz w:val="18"/>
          <w:szCs w:val="18"/>
        </w:rPr>
        <w:t xml:space="preserve">Stene-Johansen, Knut </w:t>
      </w:r>
      <w:r w:rsidRPr="00B70A6C">
        <w:rPr>
          <w:i/>
          <w:sz w:val="18"/>
          <w:szCs w:val="18"/>
        </w:rPr>
        <w:t>et al.</w:t>
      </w:r>
      <w:r w:rsidRPr="00B70A6C">
        <w:rPr>
          <w:sz w:val="18"/>
          <w:szCs w:val="18"/>
        </w:rPr>
        <w:t xml:space="preserve"> (eds.). </w:t>
      </w:r>
      <w:r w:rsidRPr="00B70A6C">
        <w:rPr>
          <w:rStyle w:val="Uthevet"/>
          <w:color w:val="444444"/>
          <w:sz w:val="18"/>
          <w:szCs w:val="18"/>
          <w:bdr w:val="none" w:sz="0" w:space="0" w:color="auto" w:frame="1"/>
        </w:rPr>
        <w:t>Å leve sammen. Roland Barthes, individet og fellesskapet</w:t>
      </w:r>
      <w:r w:rsidRPr="00B70A6C">
        <w:rPr>
          <w:color w:val="444444"/>
          <w:sz w:val="18"/>
          <w:szCs w:val="18"/>
          <w:shd w:val="clear" w:color="auto" w:fill="FFFFFF"/>
        </w:rPr>
        <w:t>. Oslo: Spartacus, 2016</w:t>
      </w:r>
      <w:r>
        <w:rPr>
          <w:color w:val="444444"/>
          <w:sz w:val="18"/>
          <w:szCs w:val="18"/>
          <w:shd w:val="clear" w:color="auto" w:fill="FFFFFF"/>
        </w:rPr>
        <w:t>.</w:t>
      </w:r>
    </w:p>
    <w:p w14:paraId="1DEBB1F0" w14:textId="77777777" w:rsidR="0007435E" w:rsidRPr="00B70A6C" w:rsidRDefault="0007435E" w:rsidP="00995952">
      <w:pPr>
        <w:ind w:left="720" w:hanging="720"/>
        <w:rPr>
          <w:sz w:val="18"/>
          <w:szCs w:val="18"/>
        </w:rPr>
      </w:pPr>
      <w:r w:rsidRPr="00B70A6C">
        <w:rPr>
          <w:sz w:val="18"/>
          <w:szCs w:val="18"/>
        </w:rPr>
        <w:t xml:space="preserve">Taïa, Abdellah. </w:t>
      </w:r>
      <w:r w:rsidRPr="00B70A6C">
        <w:rPr>
          <w:i/>
          <w:sz w:val="18"/>
          <w:szCs w:val="18"/>
        </w:rPr>
        <w:t>L’Armée du Salut</w:t>
      </w:r>
      <w:r w:rsidRPr="00B70A6C">
        <w:rPr>
          <w:sz w:val="18"/>
          <w:szCs w:val="18"/>
        </w:rPr>
        <w:t>. Paris: Seuil, 2006.</w:t>
      </w:r>
    </w:p>
    <w:p w14:paraId="76160B71" w14:textId="77777777" w:rsidR="0007435E" w:rsidRPr="00E33FB7" w:rsidRDefault="0007435E" w:rsidP="00995952">
      <w:pPr>
        <w:ind w:left="720" w:hanging="720"/>
        <w:rPr>
          <w:sz w:val="18"/>
          <w:szCs w:val="18"/>
        </w:rPr>
      </w:pPr>
      <w:r w:rsidRPr="00E33FB7">
        <w:rPr>
          <w:sz w:val="18"/>
          <w:szCs w:val="18"/>
        </w:rPr>
        <w:t xml:space="preserve">Ugresic, Dubravka. </w:t>
      </w:r>
      <w:r w:rsidRPr="0058447B">
        <w:rPr>
          <w:i/>
          <w:sz w:val="18"/>
          <w:szCs w:val="18"/>
        </w:rPr>
        <w:t>The Ministry of Pain</w:t>
      </w:r>
      <w:r w:rsidRPr="00E33FB7">
        <w:rPr>
          <w:sz w:val="18"/>
          <w:szCs w:val="18"/>
        </w:rPr>
        <w:t>. London: Telegram, 2011.</w:t>
      </w:r>
    </w:p>
    <w:p w14:paraId="46C1E44A" w14:textId="7DFBA4A0" w:rsidR="0007435E" w:rsidRPr="00EB19FF" w:rsidRDefault="0007435E" w:rsidP="00995952">
      <w:r w:rsidRPr="00E33FB7">
        <w:rPr>
          <w:rFonts w:eastAsiaTheme="minorEastAsia"/>
          <w:sz w:val="18"/>
          <w:szCs w:val="18"/>
        </w:rPr>
        <w:t>Zola</w:t>
      </w:r>
      <w:r>
        <w:rPr>
          <w:rFonts w:eastAsiaTheme="minorEastAsia"/>
          <w:sz w:val="18"/>
          <w:szCs w:val="18"/>
        </w:rPr>
        <w:t>,</w:t>
      </w:r>
      <w:r w:rsidRPr="0070261D">
        <w:rPr>
          <w:rFonts w:eastAsiaTheme="minorEastAsia"/>
          <w:sz w:val="18"/>
          <w:szCs w:val="18"/>
        </w:rPr>
        <w:t xml:space="preserve"> </w:t>
      </w:r>
      <w:r>
        <w:rPr>
          <w:rFonts w:eastAsiaTheme="minorEastAsia"/>
          <w:sz w:val="18"/>
          <w:szCs w:val="18"/>
        </w:rPr>
        <w:t>É</w:t>
      </w:r>
      <w:r w:rsidRPr="00E33FB7">
        <w:rPr>
          <w:rFonts w:eastAsiaTheme="minorEastAsia"/>
          <w:sz w:val="18"/>
          <w:szCs w:val="18"/>
        </w:rPr>
        <w:t>mile</w:t>
      </w:r>
      <w:r>
        <w:rPr>
          <w:rFonts w:eastAsiaTheme="minorEastAsia"/>
          <w:sz w:val="18"/>
          <w:szCs w:val="18"/>
        </w:rPr>
        <w:t>.</w:t>
      </w:r>
      <w:r w:rsidRPr="00E33FB7">
        <w:rPr>
          <w:rFonts w:eastAsiaTheme="minorEastAsia"/>
          <w:sz w:val="18"/>
          <w:szCs w:val="18"/>
        </w:rPr>
        <w:t xml:space="preserve"> </w:t>
      </w:r>
      <w:r w:rsidRPr="0058447B">
        <w:rPr>
          <w:rFonts w:eastAsiaTheme="minorEastAsia"/>
          <w:i/>
          <w:sz w:val="18"/>
          <w:szCs w:val="18"/>
        </w:rPr>
        <w:t>Pot-Bouille</w:t>
      </w:r>
      <w:r w:rsidRPr="0058447B">
        <w:rPr>
          <w:rFonts w:eastAsiaTheme="minorEastAsia"/>
          <w:sz w:val="18"/>
          <w:szCs w:val="18"/>
        </w:rPr>
        <w:t xml:space="preserve"> [1882], in </w:t>
      </w:r>
      <w:r w:rsidRPr="0058447B">
        <w:rPr>
          <w:rFonts w:eastAsiaTheme="minorEastAsia"/>
          <w:i/>
          <w:sz w:val="18"/>
          <w:szCs w:val="18"/>
        </w:rPr>
        <w:t>Les Rougon-Macquart</w:t>
      </w:r>
      <w:r w:rsidRPr="0058447B">
        <w:rPr>
          <w:rFonts w:eastAsiaTheme="minorEastAsia"/>
          <w:sz w:val="18"/>
          <w:szCs w:val="18"/>
        </w:rPr>
        <w:t>, Vol 3. Paris: Gallimard/B</w:t>
      </w:r>
      <w:r w:rsidR="00CE49A3">
        <w:rPr>
          <w:rFonts w:eastAsiaTheme="minorEastAsia"/>
          <w:sz w:val="18"/>
          <w:szCs w:val="18"/>
        </w:rPr>
        <w:t xml:space="preserve">ibliothéque de la Pleiade, 1964. –––––––––. </w:t>
      </w:r>
      <w:r w:rsidRPr="0058447B">
        <w:rPr>
          <w:rFonts w:eastAsiaTheme="minorEastAsia"/>
          <w:i/>
          <w:sz w:val="18"/>
          <w:szCs w:val="18"/>
        </w:rPr>
        <w:t>Pot Luck</w:t>
      </w:r>
      <w:r w:rsidRPr="0058447B">
        <w:rPr>
          <w:rFonts w:eastAsiaTheme="minorEastAsia"/>
          <w:sz w:val="18"/>
          <w:szCs w:val="18"/>
        </w:rPr>
        <w:t xml:space="preserve">, </w:t>
      </w:r>
      <w:r w:rsidR="00C77EC4">
        <w:rPr>
          <w:rFonts w:eastAsiaTheme="minorEastAsia"/>
          <w:sz w:val="18"/>
          <w:szCs w:val="18"/>
        </w:rPr>
        <w:t xml:space="preserve">Oxford: </w:t>
      </w:r>
      <w:r w:rsidRPr="0058447B">
        <w:rPr>
          <w:rFonts w:eastAsiaTheme="minorEastAsia"/>
          <w:sz w:val="18"/>
          <w:szCs w:val="18"/>
        </w:rPr>
        <w:t xml:space="preserve">Oxford University Press, 1999. </w:t>
      </w:r>
      <w:r w:rsidRPr="00EB19FF" w:rsidDel="00E33FB7">
        <w:rPr>
          <w:lang w:val="en-US"/>
        </w:rPr>
        <w:t xml:space="preserve"> </w:t>
      </w:r>
    </w:p>
    <w:p w14:paraId="175FB6A3" w14:textId="77777777" w:rsidR="0007435E" w:rsidRDefault="0007435E" w:rsidP="00995952"/>
    <w:p w14:paraId="46C0D9B0" w14:textId="77777777" w:rsidR="00023476" w:rsidRDefault="00023476" w:rsidP="00995952"/>
    <w:p w14:paraId="5A7A26BB" w14:textId="11DA91DB" w:rsidR="0088590F" w:rsidRPr="00FE36F4" w:rsidRDefault="00FE36F4" w:rsidP="00023476">
      <w:pPr>
        <w:widowControl w:val="0"/>
        <w:autoSpaceDE w:val="0"/>
        <w:autoSpaceDN w:val="0"/>
        <w:adjustRightInd w:val="0"/>
        <w:rPr>
          <w:rFonts w:eastAsiaTheme="minorEastAsia"/>
          <w:b/>
          <w:sz w:val="28"/>
          <w:szCs w:val="28"/>
          <w:u w:val="single"/>
          <w:lang w:val="en-US" w:eastAsia="ja-JP"/>
        </w:rPr>
      </w:pPr>
      <w:r>
        <w:rPr>
          <w:rFonts w:eastAsiaTheme="minorEastAsia"/>
          <w:b/>
          <w:sz w:val="28"/>
          <w:szCs w:val="28"/>
          <w:u w:val="single"/>
          <w:lang w:val="en-US" w:eastAsia="ja-JP"/>
        </w:rPr>
        <w:t>Practical details</w:t>
      </w:r>
    </w:p>
    <w:p w14:paraId="5ACBE696" w14:textId="363CFABA" w:rsidR="00023476" w:rsidRDefault="00023476" w:rsidP="00023476">
      <w:pPr>
        <w:widowControl w:val="0"/>
        <w:autoSpaceDE w:val="0"/>
        <w:autoSpaceDN w:val="0"/>
        <w:adjustRightInd w:val="0"/>
        <w:rPr>
          <w:rFonts w:eastAsiaTheme="minorEastAsia"/>
          <w:szCs w:val="24"/>
          <w:lang w:val="en-US" w:eastAsia="ja-JP"/>
        </w:rPr>
      </w:pPr>
      <w:r>
        <w:rPr>
          <w:rFonts w:eastAsiaTheme="minorEastAsia"/>
          <w:szCs w:val="24"/>
          <w:lang w:val="en-US" w:eastAsia="ja-JP"/>
        </w:rPr>
        <w:t>See</w:t>
      </w:r>
      <w:r w:rsidR="0088590F">
        <w:rPr>
          <w:rFonts w:eastAsiaTheme="minorEastAsia"/>
          <w:szCs w:val="24"/>
          <w:lang w:val="en-US" w:eastAsia="ja-JP"/>
        </w:rPr>
        <w:t xml:space="preserve"> the “Living Together”</w:t>
      </w:r>
      <w:r w:rsidR="00D20C15">
        <w:rPr>
          <w:rFonts w:eastAsiaTheme="minorEastAsia"/>
          <w:szCs w:val="24"/>
          <w:lang w:val="en-US" w:eastAsia="ja-JP"/>
        </w:rPr>
        <w:t xml:space="preserve"> </w:t>
      </w:r>
      <w:r w:rsidR="00924E1F">
        <w:rPr>
          <w:rFonts w:eastAsiaTheme="minorEastAsia"/>
          <w:szCs w:val="24"/>
          <w:lang w:val="en-US" w:eastAsia="ja-JP"/>
        </w:rPr>
        <w:t>course</w:t>
      </w:r>
      <w:r w:rsidR="0088590F">
        <w:rPr>
          <w:rFonts w:eastAsiaTheme="minorEastAsia"/>
          <w:szCs w:val="24"/>
          <w:lang w:val="en-US" w:eastAsia="ja-JP"/>
        </w:rPr>
        <w:t xml:space="preserve"> website</w:t>
      </w:r>
      <w:r w:rsidR="000451A9">
        <w:rPr>
          <w:rFonts w:eastAsiaTheme="minorEastAsia"/>
          <w:szCs w:val="24"/>
          <w:lang w:val="en-US" w:eastAsia="ja-JP"/>
        </w:rPr>
        <w:t>, which will be updated continuously</w:t>
      </w:r>
      <w:r w:rsidR="00924E1F">
        <w:rPr>
          <w:rFonts w:eastAsiaTheme="minorEastAsia"/>
          <w:szCs w:val="24"/>
          <w:lang w:val="en-US" w:eastAsia="ja-JP"/>
        </w:rPr>
        <w:t>; keep checking back for updates</w:t>
      </w:r>
      <w:r w:rsidR="0088590F">
        <w:rPr>
          <w:rFonts w:eastAsiaTheme="minorEastAsia"/>
          <w:szCs w:val="24"/>
          <w:lang w:val="en-US" w:eastAsia="ja-JP"/>
        </w:rPr>
        <w:t>.</w:t>
      </w:r>
      <w:r w:rsidR="000451A9">
        <w:rPr>
          <w:rFonts w:eastAsiaTheme="minorEastAsia"/>
          <w:szCs w:val="24"/>
          <w:lang w:val="en-US" w:eastAsia="ja-JP"/>
        </w:rPr>
        <w:t xml:space="preserve"> –</w:t>
      </w:r>
      <w:r w:rsidR="0088590F">
        <w:rPr>
          <w:rFonts w:eastAsiaTheme="minorEastAsia"/>
          <w:szCs w:val="24"/>
          <w:lang w:val="en-US" w:eastAsia="ja-JP"/>
        </w:rPr>
        <w:t xml:space="preserve"> </w:t>
      </w:r>
      <w:r w:rsidR="000451A9">
        <w:rPr>
          <w:rFonts w:eastAsiaTheme="minorEastAsia"/>
          <w:szCs w:val="24"/>
          <w:lang w:val="en-US" w:eastAsia="ja-JP"/>
        </w:rPr>
        <w:t>Here are the most</w:t>
      </w:r>
      <w:r w:rsidR="0088590F">
        <w:rPr>
          <w:rFonts w:eastAsiaTheme="minorEastAsia"/>
          <w:szCs w:val="24"/>
          <w:lang w:val="en-US" w:eastAsia="ja-JP"/>
        </w:rPr>
        <w:t xml:space="preserve"> important details</w:t>
      </w:r>
      <w:r w:rsidRPr="00023476">
        <w:rPr>
          <w:rFonts w:eastAsiaTheme="minorEastAsia"/>
          <w:szCs w:val="24"/>
          <w:lang w:val="en-US" w:eastAsia="ja-JP"/>
        </w:rPr>
        <w:t>:</w:t>
      </w:r>
    </w:p>
    <w:p w14:paraId="091A44B2" w14:textId="77777777" w:rsidR="00FE36F4" w:rsidRPr="00023476" w:rsidRDefault="00FE36F4" w:rsidP="00023476">
      <w:pPr>
        <w:widowControl w:val="0"/>
        <w:autoSpaceDE w:val="0"/>
        <w:autoSpaceDN w:val="0"/>
        <w:adjustRightInd w:val="0"/>
        <w:rPr>
          <w:rFonts w:eastAsiaTheme="minorEastAsia"/>
          <w:szCs w:val="24"/>
          <w:lang w:val="en-US" w:eastAsia="ja-JP"/>
        </w:rPr>
      </w:pPr>
    </w:p>
    <w:p w14:paraId="596C4043" w14:textId="08E0DE79" w:rsidR="00FE36F4" w:rsidRPr="00023476" w:rsidRDefault="00FE36F4" w:rsidP="00FE36F4">
      <w:pPr>
        <w:widowControl w:val="0"/>
        <w:autoSpaceDE w:val="0"/>
        <w:autoSpaceDN w:val="0"/>
        <w:adjustRightInd w:val="0"/>
        <w:rPr>
          <w:rFonts w:eastAsiaTheme="minorEastAsia"/>
          <w:szCs w:val="24"/>
          <w:lang w:val="en-US" w:eastAsia="ja-JP"/>
        </w:rPr>
      </w:pPr>
      <w:r>
        <w:rPr>
          <w:rFonts w:eastAsiaTheme="minorEastAsia"/>
          <w:szCs w:val="24"/>
          <w:lang w:val="en-US" w:eastAsia="ja-JP"/>
        </w:rPr>
        <w:t xml:space="preserve">–– Course layout: </w:t>
      </w:r>
      <w:r w:rsidRPr="00023476">
        <w:rPr>
          <w:rFonts w:eastAsiaTheme="minorEastAsia"/>
          <w:szCs w:val="24"/>
          <w:lang w:val="en-US" w:eastAsia="ja-JP"/>
        </w:rPr>
        <w:t>We start the summer course with luncheon at 13:00 on Monday 14</w:t>
      </w:r>
      <w:r w:rsidRPr="00FE36F4">
        <w:rPr>
          <w:rFonts w:eastAsiaTheme="minorEastAsia"/>
          <w:szCs w:val="24"/>
          <w:vertAlign w:val="superscript"/>
          <w:lang w:val="en-US" w:eastAsia="ja-JP"/>
        </w:rPr>
        <w:t>th</w:t>
      </w:r>
      <w:r>
        <w:rPr>
          <w:rFonts w:eastAsiaTheme="minorEastAsia"/>
          <w:szCs w:val="24"/>
          <w:lang w:val="en-US" w:eastAsia="ja-JP"/>
        </w:rPr>
        <w:t xml:space="preserve"> Aug.</w:t>
      </w:r>
      <w:r w:rsidRPr="00023476">
        <w:rPr>
          <w:rFonts w:eastAsiaTheme="minorEastAsia"/>
          <w:szCs w:val="24"/>
          <w:lang w:val="en-US" w:eastAsia="ja-JP"/>
        </w:rPr>
        <w:t xml:space="preserve">, then go on with </w:t>
      </w:r>
      <w:r w:rsidR="001A3548">
        <w:rPr>
          <w:rFonts w:eastAsiaTheme="minorEastAsia"/>
          <w:szCs w:val="24"/>
          <w:lang w:val="en-US" w:eastAsia="ja-JP"/>
        </w:rPr>
        <w:t>a half-day (afternoon</w:t>
      </w:r>
      <w:r w:rsidR="00B21115">
        <w:rPr>
          <w:rFonts w:eastAsiaTheme="minorEastAsia"/>
          <w:szCs w:val="24"/>
          <w:lang w:val="en-US" w:eastAsia="ja-JP"/>
        </w:rPr>
        <w:t xml:space="preserve"> and early evening</w:t>
      </w:r>
      <w:r w:rsidR="001A3548">
        <w:rPr>
          <w:rFonts w:eastAsiaTheme="minorEastAsia"/>
          <w:szCs w:val="24"/>
          <w:lang w:val="en-US" w:eastAsia="ja-JP"/>
        </w:rPr>
        <w:t>)</w:t>
      </w:r>
      <w:r w:rsidRPr="00023476">
        <w:rPr>
          <w:rFonts w:eastAsiaTheme="minorEastAsia"/>
          <w:szCs w:val="24"/>
          <w:lang w:val="en-US" w:eastAsia="ja-JP"/>
        </w:rPr>
        <w:t xml:space="preserve"> programme that day;</w:t>
      </w:r>
      <w:r w:rsidR="001A3548">
        <w:rPr>
          <w:rFonts w:eastAsiaTheme="minorEastAsia"/>
          <w:szCs w:val="24"/>
          <w:lang w:val="en-US" w:eastAsia="ja-JP"/>
        </w:rPr>
        <w:t xml:space="preserve"> and</w:t>
      </w:r>
      <w:r w:rsidRPr="00023476">
        <w:rPr>
          <w:rFonts w:eastAsiaTheme="minorEastAsia"/>
          <w:szCs w:val="24"/>
          <w:lang w:val="en-US" w:eastAsia="ja-JP"/>
        </w:rPr>
        <w:t xml:space="preserve"> then </w:t>
      </w:r>
      <w:r>
        <w:rPr>
          <w:rFonts w:eastAsiaTheme="minorEastAsia"/>
          <w:szCs w:val="24"/>
          <w:lang w:val="en-US" w:eastAsia="ja-JP"/>
        </w:rPr>
        <w:t xml:space="preserve">continue with </w:t>
      </w:r>
      <w:r w:rsidRPr="00023476">
        <w:rPr>
          <w:rFonts w:eastAsiaTheme="minorEastAsia"/>
          <w:szCs w:val="24"/>
          <w:lang w:val="en-US" w:eastAsia="ja-JP"/>
        </w:rPr>
        <w:t>full</w:t>
      </w:r>
      <w:r w:rsidR="001A3548">
        <w:rPr>
          <w:rFonts w:eastAsiaTheme="minorEastAsia"/>
          <w:szCs w:val="24"/>
          <w:lang w:val="en-US" w:eastAsia="ja-JP"/>
        </w:rPr>
        <w:t>-day</w:t>
      </w:r>
      <w:r w:rsidRPr="00023476">
        <w:rPr>
          <w:rFonts w:eastAsiaTheme="minorEastAsia"/>
          <w:szCs w:val="24"/>
          <w:lang w:val="en-US" w:eastAsia="ja-JP"/>
        </w:rPr>
        <w:t xml:space="preserve"> programme</w:t>
      </w:r>
      <w:r w:rsidR="00BB34AB">
        <w:rPr>
          <w:rFonts w:eastAsiaTheme="minorEastAsia"/>
          <w:szCs w:val="24"/>
          <w:lang w:val="en-US" w:eastAsia="ja-JP"/>
        </w:rPr>
        <w:t>s</w:t>
      </w:r>
      <w:r w:rsidRPr="00023476">
        <w:rPr>
          <w:rFonts w:eastAsiaTheme="minorEastAsia"/>
          <w:szCs w:val="24"/>
          <w:lang w:val="en-US" w:eastAsia="ja-JP"/>
        </w:rPr>
        <w:t xml:space="preserve"> both Tuesday, Wednesday</w:t>
      </w:r>
      <w:r>
        <w:rPr>
          <w:rFonts w:eastAsiaTheme="minorEastAsia"/>
          <w:szCs w:val="24"/>
          <w:lang w:val="en-US" w:eastAsia="ja-JP"/>
        </w:rPr>
        <w:t>,</w:t>
      </w:r>
      <w:r w:rsidRPr="00023476">
        <w:rPr>
          <w:rFonts w:eastAsiaTheme="minorEastAsia"/>
          <w:szCs w:val="24"/>
          <w:lang w:val="en-US" w:eastAsia="ja-JP"/>
        </w:rPr>
        <w:t xml:space="preserve"> and Thursday</w:t>
      </w:r>
      <w:r>
        <w:rPr>
          <w:rFonts w:eastAsiaTheme="minorEastAsia"/>
          <w:szCs w:val="24"/>
          <w:lang w:val="en-US" w:eastAsia="ja-JP"/>
        </w:rPr>
        <w:t xml:space="preserve"> 17</w:t>
      </w:r>
      <w:r w:rsidRPr="00FE36F4">
        <w:rPr>
          <w:rFonts w:eastAsiaTheme="minorEastAsia"/>
          <w:szCs w:val="24"/>
          <w:vertAlign w:val="superscript"/>
          <w:lang w:val="en-US" w:eastAsia="ja-JP"/>
        </w:rPr>
        <w:t>th</w:t>
      </w:r>
      <w:r>
        <w:rPr>
          <w:rFonts w:eastAsiaTheme="minorEastAsia"/>
          <w:szCs w:val="24"/>
          <w:lang w:val="en-US" w:eastAsia="ja-JP"/>
        </w:rPr>
        <w:t xml:space="preserve"> Aug</w:t>
      </w:r>
      <w:r w:rsidRPr="00023476">
        <w:rPr>
          <w:rFonts w:eastAsiaTheme="minorEastAsia"/>
          <w:szCs w:val="24"/>
          <w:lang w:val="en-US" w:eastAsia="ja-JP"/>
        </w:rPr>
        <w:t xml:space="preserve">. Festive dinner </w:t>
      </w:r>
      <w:r>
        <w:rPr>
          <w:rFonts w:eastAsiaTheme="minorEastAsia"/>
          <w:szCs w:val="24"/>
          <w:lang w:val="en-US" w:eastAsia="ja-JP"/>
        </w:rPr>
        <w:t xml:space="preserve">offered </w:t>
      </w:r>
      <w:r w:rsidRPr="00023476">
        <w:rPr>
          <w:rFonts w:eastAsiaTheme="minorEastAsia"/>
          <w:szCs w:val="24"/>
          <w:lang w:val="en-US" w:eastAsia="ja-JP"/>
        </w:rPr>
        <w:t>on Thursday evening</w:t>
      </w:r>
      <w:r w:rsidR="00F771CF">
        <w:rPr>
          <w:rFonts w:eastAsiaTheme="minorEastAsia"/>
          <w:szCs w:val="24"/>
          <w:lang w:val="en-US" w:eastAsia="ja-JP"/>
        </w:rPr>
        <w:t xml:space="preserve"> (on the organisers)</w:t>
      </w:r>
      <w:r w:rsidRPr="00023476">
        <w:rPr>
          <w:rFonts w:eastAsiaTheme="minorEastAsia"/>
          <w:szCs w:val="24"/>
          <w:lang w:val="en-US" w:eastAsia="ja-JP"/>
        </w:rPr>
        <w:t xml:space="preserve">. Good-byes and departures </w:t>
      </w:r>
      <w:r w:rsidR="00BB34AB">
        <w:rPr>
          <w:rFonts w:eastAsiaTheme="minorEastAsia"/>
          <w:szCs w:val="24"/>
          <w:lang w:val="en-US" w:eastAsia="ja-JP"/>
        </w:rPr>
        <w:t>after breakfast and before noon on Friday 18th</w:t>
      </w:r>
      <w:r w:rsidRPr="00023476">
        <w:rPr>
          <w:rFonts w:eastAsiaTheme="minorEastAsia"/>
          <w:szCs w:val="24"/>
          <w:lang w:val="en-US" w:eastAsia="ja-JP"/>
        </w:rPr>
        <w:t>.</w:t>
      </w:r>
    </w:p>
    <w:p w14:paraId="39E52196" w14:textId="77777777" w:rsidR="00FE36F4" w:rsidRDefault="00FE36F4" w:rsidP="00023476">
      <w:pPr>
        <w:widowControl w:val="0"/>
        <w:autoSpaceDE w:val="0"/>
        <w:autoSpaceDN w:val="0"/>
        <w:adjustRightInd w:val="0"/>
        <w:rPr>
          <w:rFonts w:eastAsiaTheme="minorEastAsia"/>
          <w:szCs w:val="24"/>
          <w:lang w:val="en-US" w:eastAsia="ja-JP"/>
        </w:rPr>
      </w:pPr>
    </w:p>
    <w:p w14:paraId="29B2848A" w14:textId="12A85D34" w:rsidR="00FE36F4" w:rsidRDefault="00FE36F4" w:rsidP="00023476">
      <w:pPr>
        <w:widowControl w:val="0"/>
        <w:autoSpaceDE w:val="0"/>
        <w:autoSpaceDN w:val="0"/>
        <w:adjustRightInd w:val="0"/>
        <w:rPr>
          <w:color w:val="444444"/>
          <w:szCs w:val="24"/>
          <w:shd w:val="clear" w:color="auto" w:fill="FFFFFF"/>
        </w:rPr>
      </w:pPr>
      <w:r>
        <w:rPr>
          <w:rFonts w:eastAsiaTheme="minorEastAsia"/>
          <w:szCs w:val="24"/>
          <w:lang w:val="en-US" w:eastAsia="ja-JP"/>
        </w:rPr>
        <w:t xml:space="preserve">–– Programme: “Living Together” </w:t>
      </w:r>
      <w:r w:rsidR="00DA7D9B">
        <w:rPr>
          <w:rFonts w:eastAsiaTheme="minorEastAsia"/>
          <w:szCs w:val="24"/>
          <w:lang w:val="en-US" w:eastAsia="ja-JP"/>
        </w:rPr>
        <w:t>is a combined keynote topic/</w:t>
      </w:r>
      <w:r>
        <w:rPr>
          <w:rFonts w:eastAsiaTheme="minorEastAsia"/>
          <w:szCs w:val="24"/>
          <w:lang w:val="en-US" w:eastAsia="ja-JP"/>
        </w:rPr>
        <w:t>plenary-discussion event, and a PhD paper-discussion course.</w:t>
      </w:r>
      <w:r w:rsidR="00DA7D9B">
        <w:rPr>
          <w:rFonts w:eastAsiaTheme="minorEastAsia"/>
          <w:szCs w:val="24"/>
          <w:lang w:val="en-US" w:eastAsia="ja-JP"/>
        </w:rPr>
        <w:t xml:space="preserve"> There will be five Scandinavian/international keynotes on the programme, whose names and topics will be disseminated on the webiste </w:t>
      </w:r>
      <w:r w:rsidR="00F6784C">
        <w:rPr>
          <w:rFonts w:eastAsiaTheme="minorEastAsia"/>
          <w:szCs w:val="24"/>
          <w:lang w:val="en-US" w:eastAsia="ja-JP"/>
        </w:rPr>
        <w:t>as</w:t>
      </w:r>
      <w:r w:rsidR="00DA7D9B">
        <w:rPr>
          <w:rFonts w:eastAsiaTheme="minorEastAsia"/>
          <w:szCs w:val="24"/>
          <w:lang w:val="en-US" w:eastAsia="ja-JP"/>
        </w:rPr>
        <w:t xml:space="preserve"> confirmations are in.</w:t>
      </w:r>
      <w:r w:rsidR="00D67928">
        <w:rPr>
          <w:rFonts w:eastAsiaTheme="minorEastAsia"/>
          <w:szCs w:val="24"/>
          <w:lang w:val="en-US" w:eastAsia="ja-JP"/>
        </w:rPr>
        <w:t xml:space="preserve"> Already now, though, we are happy to announce the first keynote, </w:t>
      </w:r>
      <w:hyperlink r:id="rId8" w:history="1">
        <w:r w:rsidR="00323ABD" w:rsidRPr="00A13916">
          <w:rPr>
            <w:rStyle w:val="Hyperkobling"/>
            <w:rFonts w:eastAsiaTheme="minorEastAsia"/>
            <w:b/>
            <w:color w:val="auto"/>
            <w:szCs w:val="24"/>
            <w:lang w:val="en-US" w:eastAsia="ja-JP"/>
          </w:rPr>
          <w:t>prof. Knut Stene-</w:t>
        </w:r>
        <w:r w:rsidR="00D67928" w:rsidRPr="00A13916">
          <w:rPr>
            <w:rStyle w:val="Hyperkobling"/>
            <w:rFonts w:eastAsiaTheme="minorEastAsia"/>
            <w:b/>
            <w:color w:val="auto"/>
            <w:szCs w:val="24"/>
            <w:lang w:val="en-US" w:eastAsia="ja-JP"/>
          </w:rPr>
          <w:t>Johansen</w:t>
        </w:r>
      </w:hyperlink>
      <w:r w:rsidR="00D67928" w:rsidRPr="00A13916">
        <w:rPr>
          <w:rFonts w:eastAsiaTheme="minorEastAsia"/>
          <w:szCs w:val="24"/>
          <w:lang w:val="en-US" w:eastAsia="ja-JP"/>
        </w:rPr>
        <w:t xml:space="preserve"> (Comparative</w:t>
      </w:r>
      <w:r w:rsidR="00D67928">
        <w:rPr>
          <w:rFonts w:eastAsiaTheme="minorEastAsia"/>
          <w:szCs w:val="24"/>
          <w:lang w:val="en-US" w:eastAsia="ja-JP"/>
        </w:rPr>
        <w:t xml:space="preserve"> Literature, University of Oslo), with whom the scholarly idea about “Living Together” originated, and who – wit</w:t>
      </w:r>
      <w:r w:rsidR="00BB154F">
        <w:rPr>
          <w:rFonts w:eastAsiaTheme="minorEastAsia"/>
          <w:szCs w:val="24"/>
          <w:lang w:val="en-US" w:eastAsia="ja-JP"/>
        </w:rPr>
        <w:t>h his Oslo-based Living Together Research G</w:t>
      </w:r>
      <w:r w:rsidR="00D67928">
        <w:rPr>
          <w:rFonts w:eastAsiaTheme="minorEastAsia"/>
          <w:szCs w:val="24"/>
          <w:lang w:val="en-US" w:eastAsia="ja-JP"/>
        </w:rPr>
        <w:t xml:space="preserve">roup – has already published </w:t>
      </w:r>
      <w:r w:rsidR="00692880">
        <w:rPr>
          <w:rFonts w:eastAsiaTheme="minorEastAsia"/>
          <w:szCs w:val="24"/>
          <w:lang w:val="en-US" w:eastAsia="ja-JP"/>
        </w:rPr>
        <w:t>a</w:t>
      </w:r>
      <w:r w:rsidR="00D67928">
        <w:rPr>
          <w:rFonts w:eastAsiaTheme="minorEastAsia"/>
          <w:szCs w:val="24"/>
          <w:lang w:val="en-US" w:eastAsia="ja-JP"/>
        </w:rPr>
        <w:t xml:space="preserve"> first project anthology: </w:t>
      </w:r>
      <w:r w:rsidR="00323ABD">
        <w:rPr>
          <w:rFonts w:eastAsiaTheme="minorEastAsia"/>
          <w:szCs w:val="24"/>
          <w:lang w:val="en-US" w:eastAsia="ja-JP"/>
        </w:rPr>
        <w:t>Knut Stene-</w:t>
      </w:r>
      <w:r w:rsidR="00323ABD" w:rsidRPr="00323ABD">
        <w:rPr>
          <w:rFonts w:eastAsiaTheme="minorEastAsia"/>
          <w:szCs w:val="24"/>
          <w:lang w:val="en-US" w:eastAsia="ja-JP"/>
        </w:rPr>
        <w:t>Johansen</w:t>
      </w:r>
      <w:r w:rsidR="00323ABD" w:rsidRPr="00323ABD">
        <w:rPr>
          <w:rFonts w:eastAsiaTheme="minorEastAsia"/>
          <w:i/>
          <w:szCs w:val="24"/>
          <w:lang w:val="en-US" w:eastAsia="ja-JP"/>
        </w:rPr>
        <w:t xml:space="preserve"> et al.</w:t>
      </w:r>
      <w:r w:rsidR="00323ABD" w:rsidRPr="00323ABD">
        <w:rPr>
          <w:rFonts w:eastAsiaTheme="minorEastAsia"/>
          <w:szCs w:val="24"/>
          <w:lang w:val="en-US" w:eastAsia="ja-JP"/>
        </w:rPr>
        <w:t xml:space="preserve"> (eds.): </w:t>
      </w:r>
      <w:r w:rsidR="00323ABD" w:rsidRPr="00323ABD">
        <w:rPr>
          <w:rStyle w:val="apple-converted-space"/>
          <w:color w:val="444444"/>
          <w:szCs w:val="24"/>
          <w:shd w:val="clear" w:color="auto" w:fill="FFFFFF"/>
        </w:rPr>
        <w:t> </w:t>
      </w:r>
      <w:r w:rsidR="00323ABD" w:rsidRPr="00323ABD">
        <w:rPr>
          <w:rStyle w:val="Uthevet"/>
          <w:color w:val="444444"/>
          <w:szCs w:val="24"/>
          <w:bdr w:val="none" w:sz="0" w:space="0" w:color="auto" w:frame="1"/>
        </w:rPr>
        <w:t>Å leve sammen. Roland Barthes, individet og fellesskapet</w:t>
      </w:r>
      <w:r w:rsidR="00323ABD" w:rsidRPr="00323ABD">
        <w:rPr>
          <w:color w:val="444444"/>
          <w:szCs w:val="24"/>
          <w:shd w:val="clear" w:color="auto" w:fill="FFFFFF"/>
        </w:rPr>
        <w:t xml:space="preserve">. Oslo: Spartacus, 2016 (to be transl. </w:t>
      </w:r>
      <w:r w:rsidR="00A11C67">
        <w:rPr>
          <w:color w:val="444444"/>
          <w:szCs w:val="24"/>
          <w:shd w:val="clear" w:color="auto" w:fill="FFFFFF"/>
        </w:rPr>
        <w:t xml:space="preserve">into </w:t>
      </w:r>
      <w:r w:rsidR="00323ABD" w:rsidRPr="00323ABD">
        <w:rPr>
          <w:color w:val="444444"/>
          <w:szCs w:val="24"/>
          <w:shd w:val="clear" w:color="auto" w:fill="FFFFFF"/>
        </w:rPr>
        <w:t>and publ. also in English).</w:t>
      </w:r>
      <w:r w:rsidR="00156FD2">
        <w:rPr>
          <w:color w:val="444444"/>
          <w:szCs w:val="24"/>
          <w:shd w:val="clear" w:color="auto" w:fill="FFFFFF"/>
        </w:rPr>
        <w:t xml:space="preserve"> – For the PhD paper-discussion sessions, the participants will be organised in</w:t>
      </w:r>
      <w:r w:rsidR="001F4A08">
        <w:rPr>
          <w:color w:val="444444"/>
          <w:szCs w:val="24"/>
          <w:shd w:val="clear" w:color="auto" w:fill="FFFFFF"/>
        </w:rPr>
        <w:t>to relevant</w:t>
      </w:r>
      <w:r w:rsidR="00670403">
        <w:rPr>
          <w:color w:val="444444"/>
          <w:szCs w:val="24"/>
          <w:shd w:val="clear" w:color="auto" w:fill="FFFFFF"/>
        </w:rPr>
        <w:t xml:space="preserve"> thematic</w:t>
      </w:r>
      <w:r w:rsidR="001F4A08">
        <w:rPr>
          <w:color w:val="444444"/>
          <w:szCs w:val="24"/>
          <w:shd w:val="clear" w:color="auto" w:fill="FFFFFF"/>
        </w:rPr>
        <w:t xml:space="preserve"> groups, composed of PhD students </w:t>
      </w:r>
      <w:r w:rsidR="00BB2783">
        <w:rPr>
          <w:color w:val="444444"/>
          <w:szCs w:val="24"/>
          <w:shd w:val="clear" w:color="auto" w:fill="FFFFFF"/>
        </w:rPr>
        <w:t>as</w:t>
      </w:r>
      <w:r w:rsidR="001F4A08">
        <w:rPr>
          <w:color w:val="444444"/>
          <w:szCs w:val="24"/>
          <w:shd w:val="clear" w:color="auto" w:fill="FFFFFF"/>
        </w:rPr>
        <w:t xml:space="preserve"> well as </w:t>
      </w:r>
      <w:r w:rsidR="00670403">
        <w:rPr>
          <w:color w:val="444444"/>
          <w:szCs w:val="24"/>
          <w:shd w:val="clear" w:color="auto" w:fill="FFFFFF"/>
        </w:rPr>
        <w:t xml:space="preserve">of </w:t>
      </w:r>
      <w:r w:rsidR="001F4A08">
        <w:rPr>
          <w:color w:val="444444"/>
          <w:szCs w:val="24"/>
          <w:shd w:val="clear" w:color="auto" w:fill="FFFFFF"/>
        </w:rPr>
        <w:t>TBLR/ESSCS-faculty and keynotes.</w:t>
      </w:r>
    </w:p>
    <w:p w14:paraId="4272790E" w14:textId="51E9EBB8" w:rsidR="00F30762" w:rsidRDefault="00F30762" w:rsidP="00023476">
      <w:pPr>
        <w:widowControl w:val="0"/>
        <w:autoSpaceDE w:val="0"/>
        <w:autoSpaceDN w:val="0"/>
        <w:adjustRightInd w:val="0"/>
        <w:rPr>
          <w:color w:val="444444"/>
          <w:szCs w:val="24"/>
          <w:shd w:val="clear" w:color="auto" w:fill="FFFFFF"/>
        </w:rPr>
      </w:pPr>
      <w:r>
        <w:rPr>
          <w:rFonts w:eastAsiaTheme="minorEastAsia"/>
          <w:szCs w:val="24"/>
          <w:lang w:val="en-US" w:eastAsia="ja-JP"/>
        </w:rPr>
        <w:t>The detailed programme will be posted and disseminated when fully confirmed.</w:t>
      </w:r>
    </w:p>
    <w:p w14:paraId="345848FF" w14:textId="77777777" w:rsidR="00AB2006" w:rsidRDefault="00AB2006" w:rsidP="00023476">
      <w:pPr>
        <w:widowControl w:val="0"/>
        <w:autoSpaceDE w:val="0"/>
        <w:autoSpaceDN w:val="0"/>
        <w:adjustRightInd w:val="0"/>
        <w:rPr>
          <w:color w:val="444444"/>
          <w:szCs w:val="24"/>
          <w:shd w:val="clear" w:color="auto" w:fill="FFFFFF"/>
        </w:rPr>
      </w:pPr>
    </w:p>
    <w:p w14:paraId="4B201CF2" w14:textId="193E17AE" w:rsidR="00694A1D" w:rsidRDefault="00AB2006" w:rsidP="00023476">
      <w:pPr>
        <w:widowControl w:val="0"/>
        <w:autoSpaceDE w:val="0"/>
        <w:autoSpaceDN w:val="0"/>
        <w:adjustRightInd w:val="0"/>
        <w:rPr>
          <w:color w:val="444444"/>
          <w:szCs w:val="24"/>
          <w:shd w:val="clear" w:color="auto" w:fill="FFFFFF"/>
        </w:rPr>
      </w:pPr>
      <w:r>
        <w:rPr>
          <w:color w:val="444444"/>
          <w:szCs w:val="24"/>
          <w:shd w:val="clear" w:color="auto" w:fill="FFFFFF"/>
        </w:rPr>
        <w:t xml:space="preserve">–– </w:t>
      </w:r>
      <w:r w:rsidR="00694A1D">
        <w:rPr>
          <w:color w:val="444444"/>
          <w:szCs w:val="24"/>
          <w:shd w:val="clear" w:color="auto" w:fill="FFFFFF"/>
        </w:rPr>
        <w:t>Time frames/duration/length: Key</w:t>
      </w:r>
      <w:r>
        <w:rPr>
          <w:color w:val="444444"/>
          <w:szCs w:val="24"/>
          <w:shd w:val="clear" w:color="auto" w:fill="FFFFFF"/>
        </w:rPr>
        <w:t>notes are set up with 45-minute</w:t>
      </w:r>
      <w:r w:rsidR="00694A1D">
        <w:rPr>
          <w:color w:val="444444"/>
          <w:szCs w:val="24"/>
          <w:shd w:val="clear" w:color="auto" w:fill="FFFFFF"/>
        </w:rPr>
        <w:t xml:space="preserve"> lectures, and the same amount of time allotted to the ensuing discussion. – PhD student-paper discussions are set up with</w:t>
      </w:r>
      <w:r w:rsidR="006639BB">
        <w:rPr>
          <w:color w:val="444444"/>
          <w:szCs w:val="24"/>
          <w:shd w:val="clear" w:color="auto" w:fill="FFFFFF"/>
        </w:rPr>
        <w:t xml:space="preserve"> a </w:t>
      </w:r>
      <w:r>
        <w:rPr>
          <w:color w:val="444444"/>
          <w:szCs w:val="24"/>
          <w:shd w:val="clear" w:color="auto" w:fill="FFFFFF"/>
        </w:rPr>
        <w:t xml:space="preserve">total </w:t>
      </w:r>
      <w:r w:rsidR="006639BB">
        <w:rPr>
          <w:color w:val="444444"/>
          <w:szCs w:val="24"/>
          <w:shd w:val="clear" w:color="auto" w:fill="FFFFFF"/>
        </w:rPr>
        <w:t>time frame of 1 to 1,5 hours for each single one, in the course of which time up to 20 introductory minutes are allotted to the P</w:t>
      </w:r>
      <w:r w:rsidR="00CB0A83">
        <w:rPr>
          <w:color w:val="444444"/>
          <w:szCs w:val="24"/>
          <w:shd w:val="clear" w:color="auto" w:fill="FFFFFF"/>
        </w:rPr>
        <w:t>hD student’s oral presentation/</w:t>
      </w:r>
      <w:r w:rsidR="006639BB">
        <w:rPr>
          <w:color w:val="444444"/>
          <w:szCs w:val="24"/>
          <w:shd w:val="clear" w:color="auto" w:fill="FFFFFF"/>
        </w:rPr>
        <w:t>contextualisation of her/his paper, and the remaining time</w:t>
      </w:r>
      <w:r w:rsidR="005D1DB8">
        <w:rPr>
          <w:color w:val="444444"/>
          <w:szCs w:val="24"/>
          <w:shd w:val="clear" w:color="auto" w:fill="FFFFFF"/>
        </w:rPr>
        <w:t xml:space="preserve"> to a rich discussion</w:t>
      </w:r>
      <w:r w:rsidR="000E14ED">
        <w:rPr>
          <w:color w:val="444444"/>
          <w:szCs w:val="24"/>
          <w:shd w:val="clear" w:color="auto" w:fill="FFFFFF"/>
        </w:rPr>
        <w:t xml:space="preserve"> between the PhD-student author, student peers, TBLR/ESSCS faculty, and keynotes, </w:t>
      </w:r>
      <w:r w:rsidR="000E14ED">
        <w:rPr>
          <w:rFonts w:eastAsiaTheme="minorEastAsia"/>
          <w:szCs w:val="24"/>
          <w:lang w:val="en-US" w:eastAsia="ja-JP"/>
        </w:rPr>
        <w:t xml:space="preserve">with comments, questions, </w:t>
      </w:r>
      <w:r w:rsidR="00FB1CEE">
        <w:rPr>
          <w:rFonts w:eastAsiaTheme="minorEastAsia"/>
          <w:szCs w:val="24"/>
          <w:lang w:val="en-US" w:eastAsia="ja-JP"/>
        </w:rPr>
        <w:t>further</w:t>
      </w:r>
      <w:r w:rsidR="000E14ED">
        <w:rPr>
          <w:rFonts w:eastAsiaTheme="minorEastAsia"/>
          <w:szCs w:val="24"/>
          <w:lang w:val="en-US" w:eastAsia="ja-JP"/>
        </w:rPr>
        <w:t xml:space="preserve"> suggestions</w:t>
      </w:r>
      <w:r w:rsidR="00FB1CEE">
        <w:rPr>
          <w:rFonts w:eastAsiaTheme="minorEastAsia"/>
          <w:szCs w:val="24"/>
          <w:lang w:val="en-US" w:eastAsia="ja-JP"/>
        </w:rPr>
        <w:t>, etc</w:t>
      </w:r>
      <w:r w:rsidR="000E14ED">
        <w:rPr>
          <w:rFonts w:eastAsiaTheme="minorEastAsia"/>
          <w:szCs w:val="24"/>
          <w:lang w:val="en-US" w:eastAsia="ja-JP"/>
        </w:rPr>
        <w:t>.</w:t>
      </w:r>
      <w:r w:rsidR="000E14ED">
        <w:rPr>
          <w:color w:val="444444"/>
          <w:szCs w:val="24"/>
          <w:shd w:val="clear" w:color="auto" w:fill="FFFFFF"/>
        </w:rPr>
        <w:t xml:space="preserve"> This structure – while </w:t>
      </w:r>
      <w:r w:rsidR="006639BB">
        <w:rPr>
          <w:color w:val="444444"/>
          <w:szCs w:val="24"/>
          <w:shd w:val="clear" w:color="auto" w:fill="FFFFFF"/>
        </w:rPr>
        <w:t xml:space="preserve">all student papers are </w:t>
      </w:r>
      <w:r w:rsidR="004C436E">
        <w:rPr>
          <w:color w:val="444444"/>
          <w:szCs w:val="24"/>
          <w:shd w:val="clear" w:color="auto" w:fill="FFFFFF"/>
        </w:rPr>
        <w:t xml:space="preserve">mandatory </w:t>
      </w:r>
      <w:r w:rsidR="000E14ED">
        <w:rPr>
          <w:color w:val="444444"/>
          <w:szCs w:val="24"/>
          <w:shd w:val="clear" w:color="auto" w:fill="FFFFFF"/>
        </w:rPr>
        <w:t xml:space="preserve">beforehand </w:t>
      </w:r>
      <w:r w:rsidR="004C436E">
        <w:rPr>
          <w:color w:val="444444"/>
          <w:szCs w:val="24"/>
          <w:shd w:val="clear" w:color="auto" w:fill="FFFFFF"/>
        </w:rPr>
        <w:t>reading for all</w:t>
      </w:r>
      <w:r w:rsidR="000E14ED">
        <w:rPr>
          <w:color w:val="444444"/>
          <w:szCs w:val="24"/>
          <w:shd w:val="clear" w:color="auto" w:fill="FFFFFF"/>
        </w:rPr>
        <w:t xml:space="preserve"> participants, thus leaving a</w:t>
      </w:r>
      <w:r w:rsidR="00FB1CEE">
        <w:rPr>
          <w:color w:val="444444"/>
          <w:szCs w:val="24"/>
          <w:shd w:val="clear" w:color="auto" w:fill="FFFFFF"/>
        </w:rPr>
        <w:t>mple time for a rich discussion of the papers.</w:t>
      </w:r>
    </w:p>
    <w:p w14:paraId="1042F555" w14:textId="77777777" w:rsidR="00955C7E" w:rsidRDefault="00955C7E" w:rsidP="00023476">
      <w:pPr>
        <w:widowControl w:val="0"/>
        <w:autoSpaceDE w:val="0"/>
        <w:autoSpaceDN w:val="0"/>
        <w:adjustRightInd w:val="0"/>
        <w:rPr>
          <w:color w:val="444444"/>
          <w:szCs w:val="24"/>
          <w:shd w:val="clear" w:color="auto" w:fill="FFFFFF"/>
        </w:rPr>
      </w:pPr>
    </w:p>
    <w:p w14:paraId="65C2A230" w14:textId="2D8AD436" w:rsidR="00A6233B" w:rsidRDefault="00955C7E" w:rsidP="00023476">
      <w:pPr>
        <w:widowControl w:val="0"/>
        <w:autoSpaceDE w:val="0"/>
        <w:autoSpaceDN w:val="0"/>
        <w:adjustRightInd w:val="0"/>
        <w:rPr>
          <w:color w:val="444444"/>
          <w:szCs w:val="24"/>
          <w:shd w:val="clear" w:color="auto" w:fill="FFFFFF"/>
        </w:rPr>
      </w:pPr>
      <w:r>
        <w:rPr>
          <w:color w:val="444444"/>
          <w:szCs w:val="24"/>
          <w:shd w:val="clear" w:color="auto" w:fill="FFFFFF"/>
        </w:rPr>
        <w:t xml:space="preserve">–– PhD student-paper topics: (1) </w:t>
      </w:r>
      <w:r w:rsidR="00A6233B">
        <w:rPr>
          <w:color w:val="444444"/>
          <w:szCs w:val="24"/>
          <w:shd w:val="clear" w:color="auto" w:fill="FFFFFF"/>
        </w:rPr>
        <w:t>a paper bearing a relation to some aspect or problem detailed</w:t>
      </w:r>
      <w:r w:rsidR="009B6130">
        <w:rPr>
          <w:color w:val="444444"/>
          <w:szCs w:val="24"/>
          <w:shd w:val="clear" w:color="auto" w:fill="FFFFFF"/>
        </w:rPr>
        <w:t xml:space="preserve"> or suggested</w:t>
      </w:r>
      <w:r w:rsidR="00A6233B">
        <w:rPr>
          <w:color w:val="444444"/>
          <w:szCs w:val="24"/>
          <w:shd w:val="clear" w:color="auto" w:fill="FFFFFF"/>
        </w:rPr>
        <w:t xml:space="preserve"> in the ”Living Together” Call for Papers</w:t>
      </w:r>
      <w:r w:rsidR="00B54681">
        <w:rPr>
          <w:color w:val="444444"/>
          <w:szCs w:val="24"/>
          <w:shd w:val="clear" w:color="auto" w:fill="FFFFFF"/>
        </w:rPr>
        <w:t xml:space="preserve"> </w:t>
      </w:r>
      <w:r w:rsidR="00965EE4">
        <w:rPr>
          <w:color w:val="444444"/>
          <w:szCs w:val="24"/>
          <w:shd w:val="clear" w:color="auto" w:fill="FFFFFF"/>
        </w:rPr>
        <w:t>(Barthes; Agamben;</w:t>
      </w:r>
      <w:r w:rsidR="009B6130">
        <w:rPr>
          <w:color w:val="444444"/>
          <w:szCs w:val="24"/>
          <w:shd w:val="clear" w:color="auto" w:fill="FFFFFF"/>
        </w:rPr>
        <w:t xml:space="preserve"> and/or Derrida)</w:t>
      </w:r>
      <w:r w:rsidR="00A6233B">
        <w:rPr>
          <w:color w:val="444444"/>
          <w:szCs w:val="24"/>
          <w:shd w:val="clear" w:color="auto" w:fill="FFFFFF"/>
        </w:rPr>
        <w:t>; (2) a paper stemming from the PhD student’s ongoing dissertation work, like a chapter, a section, an excerpt, a focus on a special p</w:t>
      </w:r>
      <w:r w:rsidR="00E70252">
        <w:rPr>
          <w:color w:val="444444"/>
          <w:szCs w:val="24"/>
          <w:shd w:val="clear" w:color="auto" w:fill="FFFFFF"/>
        </w:rPr>
        <w:t>roblem, theoretical or other</w:t>
      </w:r>
      <w:r w:rsidR="00A6233B">
        <w:rPr>
          <w:color w:val="444444"/>
          <w:szCs w:val="24"/>
          <w:shd w:val="clear" w:color="auto" w:fill="FFFFFF"/>
        </w:rPr>
        <w:t>, lifted out of the dissertation-writing process for particular</w:t>
      </w:r>
      <w:r w:rsidR="009B6130">
        <w:rPr>
          <w:color w:val="444444"/>
          <w:szCs w:val="24"/>
          <w:shd w:val="clear" w:color="auto" w:fill="FFFFFF"/>
        </w:rPr>
        <w:t>, critical</w:t>
      </w:r>
      <w:r w:rsidR="00A6233B">
        <w:rPr>
          <w:color w:val="444444"/>
          <w:szCs w:val="24"/>
          <w:shd w:val="clear" w:color="auto" w:fill="FFFFFF"/>
        </w:rPr>
        <w:t xml:space="preserve"> attention, etc. – all of which with or without a relation to the CfP; (3)</w:t>
      </w:r>
      <w:r w:rsidR="008D0DE0">
        <w:rPr>
          <w:color w:val="444444"/>
          <w:szCs w:val="24"/>
          <w:shd w:val="clear" w:color="auto" w:fill="FFFFFF"/>
        </w:rPr>
        <w:t xml:space="preserve"> a paper presenting and critically discussing one </w:t>
      </w:r>
      <w:r w:rsidR="00B54681">
        <w:rPr>
          <w:color w:val="444444"/>
          <w:szCs w:val="24"/>
          <w:shd w:val="clear" w:color="auto" w:fill="FFFFFF"/>
        </w:rPr>
        <w:t xml:space="preserve">or more </w:t>
      </w:r>
      <w:r w:rsidR="008D0DE0">
        <w:rPr>
          <w:color w:val="444444"/>
          <w:szCs w:val="24"/>
          <w:shd w:val="clear" w:color="auto" w:fill="FFFFFF"/>
        </w:rPr>
        <w:t>of the works</w:t>
      </w:r>
      <w:r w:rsidR="00B54681">
        <w:rPr>
          <w:color w:val="444444"/>
          <w:szCs w:val="24"/>
          <w:shd w:val="clear" w:color="auto" w:fill="FFFFFF"/>
        </w:rPr>
        <w:t xml:space="preserve"> </w:t>
      </w:r>
      <w:r w:rsidR="008D0DE0">
        <w:rPr>
          <w:color w:val="444444"/>
          <w:szCs w:val="24"/>
          <w:shd w:val="clear" w:color="auto" w:fill="FFFFFF"/>
        </w:rPr>
        <w:t>on the course’s reading list.</w:t>
      </w:r>
      <w:r w:rsidR="00B54681">
        <w:rPr>
          <w:color w:val="444444"/>
          <w:szCs w:val="24"/>
          <w:shd w:val="clear" w:color="auto" w:fill="FFFFFF"/>
        </w:rPr>
        <w:t xml:space="preserve"> – Bear in mind that inter-aesthetic and comparative as well as disc</w:t>
      </w:r>
      <w:r w:rsidR="00A11C67">
        <w:rPr>
          <w:color w:val="444444"/>
          <w:szCs w:val="24"/>
          <w:shd w:val="clear" w:color="auto" w:fill="FFFFFF"/>
        </w:rPr>
        <w:t>iplinary papers are welcome. – Max l</w:t>
      </w:r>
      <w:r w:rsidR="00B54681">
        <w:rPr>
          <w:color w:val="444444"/>
          <w:szCs w:val="24"/>
          <w:shd w:val="clear" w:color="auto" w:fill="FFFFFF"/>
        </w:rPr>
        <w:t>ength of paper: about 15 pp, 1,5 line spacing, Word: Times New Roman.</w:t>
      </w:r>
    </w:p>
    <w:p w14:paraId="6880F1A6" w14:textId="77777777" w:rsidR="007D3564" w:rsidRDefault="007D3564" w:rsidP="00023476">
      <w:pPr>
        <w:widowControl w:val="0"/>
        <w:autoSpaceDE w:val="0"/>
        <w:autoSpaceDN w:val="0"/>
        <w:adjustRightInd w:val="0"/>
        <w:rPr>
          <w:color w:val="444444"/>
          <w:szCs w:val="24"/>
          <w:shd w:val="clear" w:color="auto" w:fill="FFFFFF"/>
        </w:rPr>
      </w:pPr>
    </w:p>
    <w:p w14:paraId="57A223ED" w14:textId="365F10CB" w:rsidR="007D3564" w:rsidRDefault="007D3564" w:rsidP="00023476">
      <w:pPr>
        <w:widowControl w:val="0"/>
        <w:autoSpaceDE w:val="0"/>
        <w:autoSpaceDN w:val="0"/>
        <w:adjustRightInd w:val="0"/>
        <w:rPr>
          <w:color w:val="444444"/>
          <w:szCs w:val="24"/>
          <w:shd w:val="clear" w:color="auto" w:fill="FFFFFF"/>
        </w:rPr>
      </w:pPr>
      <w:r>
        <w:rPr>
          <w:color w:val="444444"/>
          <w:szCs w:val="24"/>
          <w:shd w:val="clear" w:color="auto" w:fill="FFFFFF"/>
        </w:rPr>
        <w:t>ECTS points</w:t>
      </w:r>
      <w:r w:rsidR="007955E6">
        <w:rPr>
          <w:color w:val="444444"/>
          <w:szCs w:val="24"/>
          <w:shd w:val="clear" w:color="auto" w:fill="FFFFFF"/>
        </w:rPr>
        <w:t xml:space="preserve"> for PhD students: 5 ECTS with a paper; 2 ECTS without.</w:t>
      </w:r>
    </w:p>
    <w:p w14:paraId="06B608BF" w14:textId="20DFBD6B" w:rsidR="00156FD2" w:rsidRDefault="00156FD2" w:rsidP="00023476">
      <w:pPr>
        <w:widowControl w:val="0"/>
        <w:autoSpaceDE w:val="0"/>
        <w:autoSpaceDN w:val="0"/>
        <w:adjustRightInd w:val="0"/>
        <w:rPr>
          <w:rFonts w:eastAsiaTheme="minorEastAsia"/>
          <w:szCs w:val="24"/>
          <w:lang w:val="en-US" w:eastAsia="ja-JP"/>
        </w:rPr>
      </w:pPr>
    </w:p>
    <w:p w14:paraId="455787E5" w14:textId="7CECA459" w:rsidR="00FE36F4" w:rsidRPr="00023476" w:rsidRDefault="00FE36F4" w:rsidP="00FE36F4">
      <w:pPr>
        <w:widowControl w:val="0"/>
        <w:autoSpaceDE w:val="0"/>
        <w:autoSpaceDN w:val="0"/>
        <w:adjustRightInd w:val="0"/>
        <w:rPr>
          <w:rFonts w:eastAsiaTheme="minorEastAsia"/>
          <w:szCs w:val="24"/>
          <w:lang w:val="en-US" w:eastAsia="ja-JP"/>
        </w:rPr>
      </w:pPr>
      <w:r w:rsidRPr="004B4755">
        <w:rPr>
          <w:rFonts w:eastAsiaTheme="minorEastAsia"/>
          <w:szCs w:val="24"/>
          <w:lang w:val="en-US" w:eastAsia="ja-JP"/>
        </w:rPr>
        <w:t xml:space="preserve">–– Venue for </w:t>
      </w:r>
      <w:r w:rsidR="002A5EE3" w:rsidRPr="004B4755">
        <w:rPr>
          <w:rFonts w:eastAsiaTheme="minorEastAsia"/>
          <w:szCs w:val="24"/>
          <w:lang w:val="en-US" w:eastAsia="ja-JP"/>
        </w:rPr>
        <w:t>the</w:t>
      </w:r>
      <w:r w:rsidRPr="004B4755">
        <w:rPr>
          <w:rFonts w:eastAsiaTheme="minorEastAsia"/>
          <w:szCs w:val="24"/>
          <w:lang w:val="en-US" w:eastAsia="ja-JP"/>
        </w:rPr>
        <w:t xml:space="preserve"> </w:t>
      </w:r>
      <w:r w:rsidR="002A5EE3" w:rsidRPr="004B4755">
        <w:rPr>
          <w:rFonts w:eastAsiaTheme="minorEastAsia"/>
          <w:szCs w:val="24"/>
          <w:lang w:val="en-US" w:eastAsia="ja-JP"/>
        </w:rPr>
        <w:t>course</w:t>
      </w:r>
      <w:r w:rsidRPr="004B4755">
        <w:rPr>
          <w:rFonts w:eastAsiaTheme="minorEastAsia"/>
          <w:szCs w:val="24"/>
          <w:lang w:val="en-US" w:eastAsia="ja-JP"/>
        </w:rPr>
        <w:t xml:space="preserve"> as well as for all participants’ hotel rooms 14th-18th Aug. will be </w:t>
      </w:r>
      <w:hyperlink r:id="rId9" w:history="1">
        <w:r w:rsidRPr="004B4755">
          <w:rPr>
            <w:rStyle w:val="Hyperkobling"/>
            <w:rFonts w:eastAsiaTheme="minorEastAsia"/>
            <w:color w:val="auto"/>
            <w:szCs w:val="24"/>
            <w:lang w:val="en-US" w:eastAsia="ja-JP"/>
          </w:rPr>
          <w:t>Hotel Scandic Neptun</w:t>
        </w:r>
      </w:hyperlink>
      <w:r w:rsidRPr="004B4755">
        <w:rPr>
          <w:rFonts w:eastAsiaTheme="minorEastAsia"/>
          <w:szCs w:val="24"/>
          <w:lang w:val="en-US" w:eastAsia="ja-JP"/>
        </w:rPr>
        <w:t>, downtown Bergen, one street removed from the historic wharf and the quayside. The hotel rooms</w:t>
      </w:r>
      <w:r w:rsidRPr="00023476">
        <w:rPr>
          <w:rFonts w:eastAsiaTheme="minorEastAsia"/>
          <w:szCs w:val="24"/>
          <w:lang w:val="en-US" w:eastAsia="ja-JP"/>
        </w:rPr>
        <w:t xml:space="preserve"> (covered by </w:t>
      </w:r>
      <w:r>
        <w:rPr>
          <w:rFonts w:eastAsiaTheme="minorEastAsia"/>
          <w:szCs w:val="24"/>
          <w:lang w:val="en-US" w:eastAsia="ja-JP"/>
        </w:rPr>
        <w:t>the</w:t>
      </w:r>
      <w:r w:rsidRPr="00023476">
        <w:rPr>
          <w:rFonts w:eastAsiaTheme="minorEastAsia"/>
          <w:szCs w:val="24"/>
          <w:lang w:val="en-US" w:eastAsia="ja-JP"/>
        </w:rPr>
        <w:t xml:space="preserve"> organisers throughout the </w:t>
      </w:r>
      <w:r>
        <w:rPr>
          <w:rFonts w:eastAsiaTheme="minorEastAsia"/>
          <w:szCs w:val="24"/>
          <w:lang w:val="en-US" w:eastAsia="ja-JP"/>
        </w:rPr>
        <w:t xml:space="preserve">duration of the </w:t>
      </w:r>
      <w:r w:rsidRPr="00023476">
        <w:rPr>
          <w:rFonts w:eastAsiaTheme="minorEastAsia"/>
          <w:szCs w:val="24"/>
          <w:lang w:val="en-US" w:eastAsia="ja-JP"/>
        </w:rPr>
        <w:t>summer-co</w:t>
      </w:r>
      <w:r w:rsidR="005A4622">
        <w:rPr>
          <w:rFonts w:eastAsiaTheme="minorEastAsia"/>
          <w:szCs w:val="24"/>
          <w:lang w:val="en-US" w:eastAsia="ja-JP"/>
        </w:rPr>
        <w:t>urse), will be spaci</w:t>
      </w:r>
      <w:r w:rsidRPr="00023476">
        <w:rPr>
          <w:rFonts w:eastAsiaTheme="minorEastAsia"/>
          <w:szCs w:val="24"/>
          <w:lang w:val="en-US" w:eastAsia="ja-JP"/>
        </w:rPr>
        <w:t xml:space="preserve">ous double rooms, </w:t>
      </w:r>
      <w:r>
        <w:rPr>
          <w:rFonts w:eastAsiaTheme="minorEastAsia"/>
          <w:szCs w:val="24"/>
          <w:lang w:val="en-US" w:eastAsia="ja-JP"/>
        </w:rPr>
        <w:t>housing</w:t>
      </w:r>
      <w:r w:rsidRPr="00023476">
        <w:rPr>
          <w:rFonts w:eastAsiaTheme="minorEastAsia"/>
          <w:szCs w:val="24"/>
          <w:lang w:val="en-US" w:eastAsia="ja-JP"/>
        </w:rPr>
        <w:t xml:space="preserve"> two PhD students in each (</w:t>
      </w:r>
      <w:r w:rsidR="00B22D53">
        <w:rPr>
          <w:rFonts w:eastAsiaTheme="minorEastAsia"/>
          <w:szCs w:val="24"/>
          <w:lang w:val="en-US" w:eastAsia="ja-JP"/>
        </w:rPr>
        <w:t xml:space="preserve">a </w:t>
      </w:r>
      <w:r w:rsidRPr="00023476">
        <w:rPr>
          <w:rFonts w:eastAsiaTheme="minorEastAsia"/>
          <w:szCs w:val="24"/>
          <w:lang w:val="en-US" w:eastAsia="ja-JP"/>
        </w:rPr>
        <w:t>summer-school room-m</w:t>
      </w:r>
      <w:r w:rsidR="00B22D53">
        <w:rPr>
          <w:rFonts w:eastAsiaTheme="minorEastAsia"/>
          <w:szCs w:val="24"/>
          <w:lang w:val="en-US" w:eastAsia="ja-JP"/>
        </w:rPr>
        <w:t>ate system,</w:t>
      </w:r>
      <w:r w:rsidRPr="00023476">
        <w:rPr>
          <w:rFonts w:eastAsiaTheme="minorEastAsia"/>
          <w:szCs w:val="24"/>
          <w:lang w:val="en-US" w:eastAsia="ja-JP"/>
        </w:rPr>
        <w:t xml:space="preserve"> </w:t>
      </w:r>
      <w:r w:rsidR="00B22D53">
        <w:rPr>
          <w:rFonts w:eastAsiaTheme="minorEastAsia"/>
          <w:szCs w:val="24"/>
          <w:lang w:val="en-US" w:eastAsia="ja-JP"/>
        </w:rPr>
        <w:t>which</w:t>
      </w:r>
      <w:r w:rsidRPr="00023476">
        <w:rPr>
          <w:rFonts w:eastAsiaTheme="minorEastAsia"/>
          <w:szCs w:val="24"/>
          <w:lang w:val="en-US" w:eastAsia="ja-JP"/>
        </w:rPr>
        <w:t xml:space="preserve"> also creates an extra and contact-facilitating atmosphere</w:t>
      </w:r>
      <w:r w:rsidR="00B22D53">
        <w:rPr>
          <w:rFonts w:eastAsiaTheme="minorEastAsia"/>
          <w:szCs w:val="24"/>
          <w:lang w:val="en-US" w:eastAsia="ja-JP"/>
        </w:rPr>
        <w:t>)</w:t>
      </w:r>
      <w:r w:rsidRPr="00023476">
        <w:rPr>
          <w:rFonts w:eastAsiaTheme="minorEastAsia"/>
          <w:szCs w:val="24"/>
          <w:lang w:val="en-US" w:eastAsia="ja-JP"/>
        </w:rPr>
        <w:t>.</w:t>
      </w:r>
    </w:p>
    <w:p w14:paraId="447DE803" w14:textId="77777777" w:rsidR="00FE36F4" w:rsidRDefault="00FE36F4" w:rsidP="00023476">
      <w:pPr>
        <w:widowControl w:val="0"/>
        <w:autoSpaceDE w:val="0"/>
        <w:autoSpaceDN w:val="0"/>
        <w:adjustRightInd w:val="0"/>
        <w:rPr>
          <w:rFonts w:eastAsiaTheme="minorEastAsia"/>
          <w:szCs w:val="24"/>
          <w:lang w:val="en-US" w:eastAsia="ja-JP"/>
        </w:rPr>
      </w:pPr>
    </w:p>
    <w:p w14:paraId="4F181458" w14:textId="0A4FFB99" w:rsidR="0088590F" w:rsidRDefault="0088590F" w:rsidP="00023476">
      <w:pPr>
        <w:widowControl w:val="0"/>
        <w:autoSpaceDE w:val="0"/>
        <w:autoSpaceDN w:val="0"/>
        <w:adjustRightInd w:val="0"/>
        <w:rPr>
          <w:rFonts w:eastAsiaTheme="minorEastAsia"/>
          <w:szCs w:val="24"/>
          <w:lang w:val="en-US" w:eastAsia="ja-JP"/>
        </w:rPr>
      </w:pPr>
      <w:r>
        <w:rPr>
          <w:rFonts w:eastAsiaTheme="minorEastAsia"/>
          <w:szCs w:val="24"/>
          <w:lang w:val="en-US" w:eastAsia="ja-JP"/>
        </w:rPr>
        <w:t xml:space="preserve">–– </w:t>
      </w:r>
      <w:r w:rsidR="00023476" w:rsidRPr="00023476">
        <w:rPr>
          <w:rFonts w:eastAsiaTheme="minorEastAsia"/>
          <w:szCs w:val="24"/>
          <w:lang w:val="en-US" w:eastAsia="ja-JP"/>
        </w:rPr>
        <w:t xml:space="preserve">Travel costs will have to be covered by the PhD students themselves or through the PhD-trajectory means that they themselves have at their disposal. Other than that, hotel rooms and full board (three meals a day) from Monday 14th at noon through Friday 18th </w:t>
      </w:r>
      <w:r w:rsidR="007D2C8C">
        <w:rPr>
          <w:rFonts w:eastAsiaTheme="minorEastAsia"/>
          <w:szCs w:val="24"/>
          <w:lang w:val="en-US" w:eastAsia="ja-JP"/>
        </w:rPr>
        <w:t xml:space="preserve">Aug. </w:t>
      </w:r>
      <w:r w:rsidR="00023476" w:rsidRPr="00023476">
        <w:rPr>
          <w:rFonts w:eastAsiaTheme="minorEastAsia"/>
          <w:szCs w:val="24"/>
          <w:lang w:val="en-US" w:eastAsia="ja-JP"/>
        </w:rPr>
        <w:t xml:space="preserve">at noon will be covered by </w:t>
      </w:r>
      <w:r w:rsidR="00A31F59">
        <w:rPr>
          <w:rFonts w:eastAsiaTheme="minorEastAsia"/>
          <w:szCs w:val="24"/>
          <w:lang w:val="en-US" w:eastAsia="ja-JP"/>
        </w:rPr>
        <w:t>the</w:t>
      </w:r>
      <w:r w:rsidR="00023476" w:rsidRPr="00023476">
        <w:rPr>
          <w:rFonts w:eastAsiaTheme="minorEastAsia"/>
          <w:szCs w:val="24"/>
          <w:lang w:val="en-US" w:eastAsia="ja-JP"/>
        </w:rPr>
        <w:t xml:space="preserve"> TBLR/ESSCS (the dinner on W</w:t>
      </w:r>
      <w:r w:rsidR="00A31F59">
        <w:rPr>
          <w:rFonts w:eastAsiaTheme="minorEastAsia"/>
          <w:szCs w:val="24"/>
          <w:lang w:val="en-US" w:eastAsia="ja-JP"/>
        </w:rPr>
        <w:t>ednesday is the exception</w:t>
      </w:r>
      <w:r w:rsidR="00023476" w:rsidRPr="00023476">
        <w:rPr>
          <w:rFonts w:eastAsiaTheme="minorEastAsia"/>
          <w:szCs w:val="24"/>
          <w:lang w:val="en-US" w:eastAsia="ja-JP"/>
        </w:rPr>
        <w:t xml:space="preserve">: </w:t>
      </w:r>
      <w:r w:rsidR="00AB6DC5">
        <w:rPr>
          <w:rFonts w:eastAsiaTheme="minorEastAsia"/>
          <w:szCs w:val="24"/>
          <w:lang w:val="en-US" w:eastAsia="ja-JP"/>
        </w:rPr>
        <w:t xml:space="preserve">Wed’s dinner is </w:t>
      </w:r>
      <w:r w:rsidR="00023476" w:rsidRPr="00023476">
        <w:rPr>
          <w:rFonts w:eastAsiaTheme="minorEastAsia"/>
          <w:szCs w:val="24"/>
          <w:lang w:val="en-US" w:eastAsia="ja-JP"/>
        </w:rPr>
        <w:t xml:space="preserve">open </w:t>
      </w:r>
      <w:r w:rsidR="00AB6DC5">
        <w:rPr>
          <w:rFonts w:eastAsiaTheme="minorEastAsia"/>
          <w:szCs w:val="24"/>
          <w:lang w:val="en-US" w:eastAsia="ja-JP"/>
        </w:rPr>
        <w:t>for</w:t>
      </w:r>
      <w:r w:rsidR="00023476" w:rsidRPr="00023476">
        <w:rPr>
          <w:rFonts w:eastAsiaTheme="minorEastAsia"/>
          <w:szCs w:val="24"/>
          <w:lang w:val="en-US" w:eastAsia="ja-JP"/>
        </w:rPr>
        <w:t xml:space="preserve"> each and every one to find another restaurant in the city, and on that particular evenin</w:t>
      </w:r>
      <w:r>
        <w:rPr>
          <w:rFonts w:eastAsiaTheme="minorEastAsia"/>
          <w:szCs w:val="24"/>
          <w:lang w:val="en-US" w:eastAsia="ja-JP"/>
        </w:rPr>
        <w:t>g pay</w:t>
      </w:r>
      <w:r w:rsidR="00B4477F">
        <w:rPr>
          <w:rFonts w:eastAsiaTheme="minorEastAsia"/>
          <w:szCs w:val="24"/>
          <w:lang w:val="en-US" w:eastAsia="ja-JP"/>
        </w:rPr>
        <w:t xml:space="preserve"> for</w:t>
      </w:r>
      <w:bookmarkStart w:id="0" w:name="_GoBack"/>
      <w:bookmarkEnd w:id="0"/>
      <w:r>
        <w:rPr>
          <w:rFonts w:eastAsiaTheme="minorEastAsia"/>
          <w:szCs w:val="24"/>
          <w:lang w:val="en-US" w:eastAsia="ja-JP"/>
        </w:rPr>
        <w:t xml:space="preserve"> the</w:t>
      </w:r>
      <w:r w:rsidR="00A31F59">
        <w:rPr>
          <w:rFonts w:eastAsiaTheme="minorEastAsia"/>
          <w:szCs w:val="24"/>
          <w:lang w:val="en-US" w:eastAsia="ja-JP"/>
        </w:rPr>
        <w:t>ir</w:t>
      </w:r>
      <w:r>
        <w:rPr>
          <w:rFonts w:eastAsiaTheme="minorEastAsia"/>
          <w:szCs w:val="24"/>
          <w:lang w:val="en-US" w:eastAsia="ja-JP"/>
        </w:rPr>
        <w:t xml:space="preserve"> dinner themselves).</w:t>
      </w:r>
    </w:p>
    <w:p w14:paraId="3C8AFD73" w14:textId="77777777" w:rsidR="00FE36F4" w:rsidRDefault="00FE36F4" w:rsidP="00023476">
      <w:pPr>
        <w:widowControl w:val="0"/>
        <w:autoSpaceDE w:val="0"/>
        <w:autoSpaceDN w:val="0"/>
        <w:adjustRightInd w:val="0"/>
        <w:rPr>
          <w:rFonts w:eastAsiaTheme="minorEastAsia"/>
          <w:szCs w:val="24"/>
          <w:lang w:val="en-US" w:eastAsia="ja-JP"/>
        </w:rPr>
      </w:pPr>
    </w:p>
    <w:p w14:paraId="427E88EB" w14:textId="5E358760" w:rsidR="00023476" w:rsidRPr="00DF1B66" w:rsidRDefault="00FE36F4" w:rsidP="00023476">
      <w:pPr>
        <w:widowControl w:val="0"/>
        <w:autoSpaceDE w:val="0"/>
        <w:autoSpaceDN w:val="0"/>
        <w:adjustRightInd w:val="0"/>
        <w:rPr>
          <w:rFonts w:eastAsiaTheme="minorEastAsia"/>
          <w:szCs w:val="24"/>
          <w:lang w:val="en-US" w:eastAsia="ja-JP"/>
        </w:rPr>
      </w:pPr>
      <w:r>
        <w:rPr>
          <w:rFonts w:eastAsiaTheme="minorEastAsia"/>
          <w:szCs w:val="24"/>
          <w:lang w:val="en-US" w:eastAsia="ja-JP"/>
        </w:rPr>
        <w:t xml:space="preserve">–– </w:t>
      </w:r>
      <w:r w:rsidR="00023476" w:rsidRPr="00A31E20">
        <w:rPr>
          <w:rFonts w:eastAsiaTheme="minorEastAsia"/>
          <w:szCs w:val="24"/>
          <w:u w:val="single"/>
          <w:lang w:val="en-US" w:eastAsia="ja-JP"/>
        </w:rPr>
        <w:t>Application deadline</w:t>
      </w:r>
      <w:r w:rsidR="00023476" w:rsidRPr="00023476">
        <w:rPr>
          <w:rFonts w:eastAsiaTheme="minorEastAsia"/>
          <w:szCs w:val="24"/>
          <w:lang w:val="en-US" w:eastAsia="ja-JP"/>
        </w:rPr>
        <w:t xml:space="preserve"> </w:t>
      </w:r>
      <w:r w:rsidR="00323ABD">
        <w:rPr>
          <w:rFonts w:eastAsiaTheme="minorEastAsia"/>
          <w:szCs w:val="24"/>
          <w:lang w:val="en-US" w:eastAsia="ja-JP"/>
        </w:rPr>
        <w:t xml:space="preserve">(extended till late May) </w:t>
      </w:r>
      <w:r w:rsidR="00023476" w:rsidRPr="00023476">
        <w:rPr>
          <w:rFonts w:eastAsiaTheme="minorEastAsia"/>
          <w:szCs w:val="24"/>
          <w:lang w:val="en-US" w:eastAsia="ja-JP"/>
        </w:rPr>
        <w:t xml:space="preserve">will </w:t>
      </w:r>
      <w:r w:rsidR="00023476" w:rsidRPr="00DF1B66">
        <w:rPr>
          <w:rFonts w:eastAsiaTheme="minorEastAsia"/>
          <w:szCs w:val="24"/>
          <w:lang w:val="en-US" w:eastAsia="ja-JP"/>
        </w:rPr>
        <w:t xml:space="preserve">be </w:t>
      </w:r>
      <w:r w:rsidR="00DF1B66" w:rsidRPr="00BF7403">
        <w:rPr>
          <w:rFonts w:eastAsiaTheme="minorEastAsia"/>
          <w:szCs w:val="24"/>
          <w:u w:val="single"/>
          <w:lang w:val="en-US" w:eastAsia="ja-JP"/>
        </w:rPr>
        <w:t>26</w:t>
      </w:r>
      <w:r w:rsidR="00023476" w:rsidRPr="00BF7403">
        <w:rPr>
          <w:rFonts w:eastAsiaTheme="minorEastAsia"/>
          <w:szCs w:val="24"/>
          <w:u w:val="single"/>
          <w:lang w:val="en-US" w:eastAsia="ja-JP"/>
        </w:rPr>
        <w:t>th May 2017</w:t>
      </w:r>
      <w:r w:rsidR="00023476" w:rsidRPr="00DF1B66">
        <w:rPr>
          <w:rFonts w:eastAsiaTheme="minorEastAsia"/>
          <w:szCs w:val="24"/>
          <w:lang w:val="en-US" w:eastAsia="ja-JP"/>
        </w:rPr>
        <w:t xml:space="preserve"> (to</w:t>
      </w:r>
      <w:r w:rsidR="00023476" w:rsidRPr="00023476">
        <w:rPr>
          <w:rFonts w:eastAsiaTheme="minorEastAsia"/>
          <w:szCs w:val="24"/>
          <w:lang w:val="en-US" w:eastAsia="ja-JP"/>
        </w:rPr>
        <w:t xml:space="preserve"> </w:t>
      </w:r>
      <w:hyperlink r:id="rId10" w:history="1">
        <w:r w:rsidRPr="00DF1B66">
          <w:rPr>
            <w:rStyle w:val="Hyperkobling"/>
            <w:rFonts w:eastAsiaTheme="minorEastAsia"/>
            <w:color w:val="auto"/>
            <w:szCs w:val="24"/>
            <w:lang w:val="en-US" w:eastAsia="ja-JP"/>
          </w:rPr>
          <w:t>lars.saetre@uib.no</w:t>
        </w:r>
      </w:hyperlink>
      <w:r w:rsidR="00323ABD" w:rsidRPr="00DF1B66">
        <w:rPr>
          <w:rFonts w:eastAsiaTheme="minorEastAsia"/>
          <w:szCs w:val="24"/>
          <w:lang w:val="en-US" w:eastAsia="ja-JP"/>
        </w:rPr>
        <w:t>), with max. 300 words</w:t>
      </w:r>
      <w:r w:rsidR="00023476" w:rsidRPr="00DF1B66">
        <w:rPr>
          <w:rFonts w:eastAsiaTheme="minorEastAsia"/>
          <w:szCs w:val="24"/>
          <w:lang w:val="en-US" w:eastAsia="ja-JP"/>
        </w:rPr>
        <w:t xml:space="preserve"> paper abstract submitted at the same time.</w:t>
      </w:r>
      <w:r w:rsidR="00EE5AFF">
        <w:rPr>
          <w:rFonts w:eastAsiaTheme="minorEastAsia"/>
          <w:szCs w:val="24"/>
          <w:lang w:val="en-US" w:eastAsia="ja-JP"/>
        </w:rPr>
        <w:t xml:space="preserve"> In your application, please state whether you require vegetarian or vegan meals.</w:t>
      </w:r>
    </w:p>
    <w:p w14:paraId="6E703A75" w14:textId="65B909CD" w:rsidR="00323ABD" w:rsidRPr="00DF1B66" w:rsidRDefault="00DF1B66" w:rsidP="00023476">
      <w:pPr>
        <w:widowControl w:val="0"/>
        <w:autoSpaceDE w:val="0"/>
        <w:autoSpaceDN w:val="0"/>
        <w:adjustRightInd w:val="0"/>
        <w:rPr>
          <w:rFonts w:eastAsiaTheme="minorEastAsia"/>
          <w:szCs w:val="24"/>
          <w:lang w:val="en-US" w:eastAsia="ja-JP"/>
        </w:rPr>
      </w:pPr>
      <w:r w:rsidRPr="00DF1B66">
        <w:rPr>
          <w:rFonts w:eastAsiaTheme="minorEastAsia"/>
          <w:szCs w:val="24"/>
          <w:lang w:val="en-US" w:eastAsia="ja-JP"/>
        </w:rPr>
        <w:t xml:space="preserve">–– </w:t>
      </w:r>
      <w:r w:rsidRPr="00A31E20">
        <w:rPr>
          <w:rFonts w:eastAsiaTheme="minorEastAsia"/>
          <w:szCs w:val="24"/>
          <w:u w:val="single"/>
          <w:lang w:val="en-US" w:eastAsia="ja-JP"/>
        </w:rPr>
        <w:t xml:space="preserve">Paper-submission </w:t>
      </w:r>
      <w:r w:rsidR="00323ABD" w:rsidRPr="00A31E20">
        <w:rPr>
          <w:rFonts w:eastAsiaTheme="minorEastAsia"/>
          <w:szCs w:val="24"/>
          <w:u w:val="single"/>
          <w:lang w:val="en-US" w:eastAsia="ja-JP"/>
        </w:rPr>
        <w:t>deadline</w:t>
      </w:r>
      <w:r w:rsidR="00BF7403">
        <w:rPr>
          <w:rFonts w:eastAsiaTheme="minorEastAsia"/>
          <w:szCs w:val="24"/>
          <w:lang w:val="en-US" w:eastAsia="ja-JP"/>
        </w:rPr>
        <w:t xml:space="preserve">: </w:t>
      </w:r>
      <w:r w:rsidR="00C651C7">
        <w:rPr>
          <w:rFonts w:eastAsiaTheme="minorEastAsia"/>
          <w:szCs w:val="24"/>
          <w:u w:val="single"/>
          <w:lang w:val="en-US" w:eastAsia="ja-JP"/>
        </w:rPr>
        <w:t>1st</w:t>
      </w:r>
      <w:r w:rsidRPr="00A31E20">
        <w:rPr>
          <w:rFonts w:eastAsiaTheme="minorEastAsia"/>
          <w:szCs w:val="24"/>
          <w:u w:val="single"/>
          <w:lang w:val="en-US" w:eastAsia="ja-JP"/>
        </w:rPr>
        <w:t xml:space="preserve"> August 2017</w:t>
      </w:r>
      <w:r w:rsidRPr="00DF1B66">
        <w:rPr>
          <w:rFonts w:eastAsiaTheme="minorEastAsia"/>
          <w:szCs w:val="24"/>
          <w:lang w:val="en-US" w:eastAsia="ja-JP"/>
        </w:rPr>
        <w:t xml:space="preserve"> (as attachment, to </w:t>
      </w:r>
      <w:hyperlink r:id="rId11" w:history="1">
        <w:r w:rsidRPr="00DF1B66">
          <w:rPr>
            <w:rStyle w:val="Hyperkobling"/>
            <w:rFonts w:eastAsiaTheme="minorEastAsia"/>
            <w:color w:val="auto"/>
            <w:szCs w:val="24"/>
            <w:lang w:val="en-US" w:eastAsia="ja-JP"/>
          </w:rPr>
          <w:t>lars.saetre@uib.no</w:t>
        </w:r>
      </w:hyperlink>
      <w:r w:rsidRPr="00DF1B66">
        <w:rPr>
          <w:rFonts w:eastAsiaTheme="minorEastAsia"/>
          <w:szCs w:val="24"/>
          <w:lang w:val="en-US" w:eastAsia="ja-JP"/>
        </w:rPr>
        <w:t>).</w:t>
      </w:r>
    </w:p>
    <w:p w14:paraId="0B5775D8" w14:textId="77777777" w:rsidR="00023476" w:rsidRPr="00023476" w:rsidRDefault="00023476" w:rsidP="00023476">
      <w:pPr>
        <w:widowControl w:val="0"/>
        <w:autoSpaceDE w:val="0"/>
        <w:autoSpaceDN w:val="0"/>
        <w:adjustRightInd w:val="0"/>
        <w:rPr>
          <w:rFonts w:eastAsiaTheme="minorEastAsia"/>
          <w:szCs w:val="24"/>
          <w:lang w:val="en-US" w:eastAsia="ja-JP"/>
        </w:rPr>
      </w:pPr>
    </w:p>
    <w:p w14:paraId="3550841C" w14:textId="2958A722" w:rsidR="00023476" w:rsidRPr="00023476" w:rsidRDefault="00323ABD" w:rsidP="00023476">
      <w:pPr>
        <w:widowControl w:val="0"/>
        <w:autoSpaceDE w:val="0"/>
        <w:autoSpaceDN w:val="0"/>
        <w:adjustRightInd w:val="0"/>
        <w:rPr>
          <w:rFonts w:eastAsiaTheme="minorEastAsia"/>
          <w:szCs w:val="24"/>
          <w:lang w:val="en-US" w:eastAsia="ja-JP"/>
        </w:rPr>
      </w:pPr>
      <w:r>
        <w:rPr>
          <w:rFonts w:eastAsiaTheme="minorEastAsia"/>
          <w:szCs w:val="24"/>
          <w:lang w:val="en-US" w:eastAsia="ja-JP"/>
        </w:rPr>
        <w:t xml:space="preserve">–– </w:t>
      </w:r>
      <w:r w:rsidR="00023476" w:rsidRPr="00023476">
        <w:rPr>
          <w:rFonts w:eastAsiaTheme="minorEastAsia"/>
          <w:szCs w:val="24"/>
          <w:lang w:val="en-US" w:eastAsia="ja-JP"/>
        </w:rPr>
        <w:t xml:space="preserve">Options for </w:t>
      </w:r>
      <w:r w:rsidR="003C3320">
        <w:rPr>
          <w:rFonts w:eastAsiaTheme="minorEastAsia"/>
          <w:szCs w:val="24"/>
          <w:lang w:val="en-US" w:eastAsia="ja-JP"/>
        </w:rPr>
        <w:t>extended</w:t>
      </w:r>
      <w:r w:rsidR="00023476" w:rsidRPr="00023476">
        <w:rPr>
          <w:rFonts w:eastAsiaTheme="minorEastAsia"/>
          <w:szCs w:val="24"/>
          <w:lang w:val="en-US" w:eastAsia="ja-JP"/>
        </w:rPr>
        <w:t xml:space="preserve"> individual (tourist) stays in Bergen</w:t>
      </w:r>
      <w:r w:rsidR="002F5AF2">
        <w:rPr>
          <w:rFonts w:eastAsiaTheme="minorEastAsia"/>
          <w:szCs w:val="24"/>
          <w:lang w:val="en-US" w:eastAsia="ja-JP"/>
        </w:rPr>
        <w:t>: This is a possibility</w:t>
      </w:r>
      <w:r w:rsidR="00023476" w:rsidRPr="00023476">
        <w:rPr>
          <w:rFonts w:eastAsiaTheme="minorEastAsia"/>
          <w:szCs w:val="24"/>
          <w:lang w:val="en-US" w:eastAsia="ja-JP"/>
        </w:rPr>
        <w:t xml:space="preserve"> – yet then</w:t>
      </w:r>
      <w:r w:rsidR="002F5AF2">
        <w:rPr>
          <w:rFonts w:eastAsiaTheme="minorEastAsia"/>
          <w:szCs w:val="24"/>
          <w:lang w:val="en-US" w:eastAsia="ja-JP"/>
        </w:rPr>
        <w:t>,</w:t>
      </w:r>
      <w:r w:rsidR="00023476" w:rsidRPr="00023476">
        <w:rPr>
          <w:rFonts w:eastAsiaTheme="minorEastAsia"/>
          <w:szCs w:val="24"/>
          <w:lang w:val="en-US" w:eastAsia="ja-JP"/>
        </w:rPr>
        <w:t xml:space="preserve"> expressly</w:t>
      </w:r>
      <w:r w:rsidR="002F5AF2">
        <w:rPr>
          <w:rFonts w:eastAsiaTheme="minorEastAsia"/>
          <w:szCs w:val="24"/>
          <w:lang w:val="en-US" w:eastAsia="ja-JP"/>
        </w:rPr>
        <w:t>,</w:t>
      </w:r>
      <w:r w:rsidR="00023476" w:rsidRPr="00023476">
        <w:rPr>
          <w:rFonts w:eastAsiaTheme="minorEastAsia"/>
          <w:szCs w:val="24"/>
          <w:lang w:val="en-US" w:eastAsia="ja-JP"/>
        </w:rPr>
        <w:t xml:space="preserve"> at the personal expense of </w:t>
      </w:r>
      <w:r w:rsidR="00AB6DC5">
        <w:rPr>
          <w:rFonts w:eastAsiaTheme="minorEastAsia"/>
          <w:szCs w:val="24"/>
          <w:lang w:val="en-US" w:eastAsia="ja-JP"/>
        </w:rPr>
        <w:t>the participant her/himself</w:t>
      </w:r>
      <w:r w:rsidR="002F5AF2">
        <w:rPr>
          <w:rFonts w:eastAsiaTheme="minorEastAsia"/>
          <w:szCs w:val="24"/>
          <w:lang w:val="en-US" w:eastAsia="ja-JP"/>
        </w:rPr>
        <w:t>. This could be e</w:t>
      </w:r>
      <w:r w:rsidR="00023476" w:rsidRPr="00023476">
        <w:rPr>
          <w:rFonts w:eastAsiaTheme="minorEastAsia"/>
          <w:szCs w:val="24"/>
          <w:lang w:val="en-US" w:eastAsia="ja-JP"/>
        </w:rPr>
        <w:t xml:space="preserve">ither during the week-end prior to, or during the week-end immediately following </w:t>
      </w:r>
      <w:r w:rsidR="002F5AF2">
        <w:rPr>
          <w:rFonts w:eastAsiaTheme="minorEastAsia"/>
          <w:szCs w:val="24"/>
          <w:lang w:val="en-US" w:eastAsia="ja-JP"/>
        </w:rPr>
        <w:t>the</w:t>
      </w:r>
      <w:r w:rsidR="00023476" w:rsidRPr="00023476">
        <w:rPr>
          <w:rFonts w:eastAsiaTheme="minorEastAsia"/>
          <w:szCs w:val="24"/>
          <w:lang w:val="en-US" w:eastAsia="ja-JP"/>
        </w:rPr>
        <w:t xml:space="preserve"> “Living Together”-</w:t>
      </w:r>
      <w:r w:rsidR="00023476" w:rsidRPr="00623AE7">
        <w:rPr>
          <w:rFonts w:eastAsiaTheme="minorEastAsia"/>
          <w:szCs w:val="24"/>
          <w:lang w:val="en-US" w:eastAsia="ja-JP"/>
        </w:rPr>
        <w:t xml:space="preserve">event: In the case that such prospective individual wishes would </w:t>
      </w:r>
      <w:r w:rsidR="001E0971" w:rsidRPr="00623AE7">
        <w:rPr>
          <w:rFonts w:eastAsiaTheme="minorEastAsia"/>
          <w:szCs w:val="24"/>
          <w:lang w:val="en-US" w:eastAsia="ja-JP"/>
        </w:rPr>
        <w:t>be for</w:t>
      </w:r>
      <w:r w:rsidR="00715B9C" w:rsidRPr="00623AE7">
        <w:rPr>
          <w:rFonts w:eastAsiaTheme="minorEastAsia"/>
          <w:szCs w:val="24"/>
          <w:lang w:val="en-US" w:eastAsia="ja-JP"/>
        </w:rPr>
        <w:t xml:space="preserve"> our venue</w:t>
      </w:r>
      <w:r w:rsidR="00023476" w:rsidRPr="00623AE7">
        <w:rPr>
          <w:rFonts w:eastAsiaTheme="minorEastAsia"/>
          <w:szCs w:val="24"/>
          <w:lang w:val="en-US" w:eastAsia="ja-JP"/>
        </w:rPr>
        <w:t xml:space="preserve"> hotel (</w:t>
      </w:r>
      <w:hyperlink r:id="rId12" w:history="1">
        <w:r w:rsidR="00023476" w:rsidRPr="00623AE7">
          <w:rPr>
            <w:rStyle w:val="Hyperkobling"/>
            <w:rFonts w:eastAsiaTheme="minorEastAsia"/>
            <w:color w:val="auto"/>
            <w:szCs w:val="24"/>
            <w:lang w:val="en-US" w:eastAsia="ja-JP"/>
          </w:rPr>
          <w:t>Hotel Scandic Neptun</w:t>
        </w:r>
      </w:hyperlink>
      <w:r w:rsidR="00023476" w:rsidRPr="00623AE7">
        <w:rPr>
          <w:rFonts w:eastAsiaTheme="minorEastAsia"/>
          <w:szCs w:val="24"/>
          <w:lang w:val="en-US" w:eastAsia="ja-JP"/>
        </w:rPr>
        <w:t>), the</w:t>
      </w:r>
      <w:r w:rsidR="00EE5AFF" w:rsidRPr="00623AE7">
        <w:rPr>
          <w:rFonts w:eastAsiaTheme="minorEastAsia"/>
          <w:szCs w:val="24"/>
          <w:lang w:val="en-US" w:eastAsia="ja-JP"/>
        </w:rPr>
        <w:t xml:space="preserve">se queries should be directed to </w:t>
      </w:r>
      <w:hyperlink r:id="rId13" w:history="1">
        <w:r w:rsidR="00EE5AFF" w:rsidRPr="00623AE7">
          <w:rPr>
            <w:rStyle w:val="Hyperkobling"/>
            <w:rFonts w:eastAsiaTheme="minorEastAsia"/>
            <w:color w:val="auto"/>
            <w:szCs w:val="24"/>
            <w:lang w:val="en-US" w:eastAsia="ja-JP"/>
          </w:rPr>
          <w:t>lars.saetre@uib.no</w:t>
        </w:r>
      </w:hyperlink>
      <w:r w:rsidR="00023476" w:rsidRPr="00623AE7">
        <w:rPr>
          <w:rFonts w:eastAsiaTheme="minorEastAsia"/>
          <w:szCs w:val="24"/>
          <w:lang w:val="en-US" w:eastAsia="ja-JP"/>
        </w:rPr>
        <w:t>, who will then handle them vis</w:t>
      </w:r>
      <w:r w:rsidR="00023476" w:rsidRPr="00023476">
        <w:rPr>
          <w:rFonts w:eastAsiaTheme="minorEastAsia"/>
          <w:szCs w:val="24"/>
          <w:lang w:val="en-US" w:eastAsia="ja-JP"/>
        </w:rPr>
        <w:t xml:space="preserve">-à-vis our Hotel (Neptun). – All other private-stay sojourns before and/or after </w:t>
      </w:r>
      <w:r w:rsidR="00D16E21">
        <w:rPr>
          <w:rFonts w:eastAsiaTheme="minorEastAsia"/>
          <w:szCs w:val="24"/>
          <w:lang w:val="en-US" w:eastAsia="ja-JP"/>
        </w:rPr>
        <w:t>the</w:t>
      </w:r>
      <w:r w:rsidR="00023476" w:rsidRPr="00023476">
        <w:rPr>
          <w:rFonts w:eastAsiaTheme="minorEastAsia"/>
          <w:szCs w:val="24"/>
          <w:lang w:val="en-US" w:eastAsia="ja-JP"/>
        </w:rPr>
        <w:t xml:space="preserve"> summer course – i.e. outside of Hotel Scandic Neptun – should be arranged by – and in that case</w:t>
      </w:r>
      <w:r w:rsidR="00715B9C">
        <w:rPr>
          <w:rFonts w:eastAsiaTheme="minorEastAsia"/>
          <w:szCs w:val="24"/>
          <w:lang w:val="en-US" w:eastAsia="ja-JP"/>
        </w:rPr>
        <w:t>, too</w:t>
      </w:r>
      <w:r w:rsidR="00023476" w:rsidRPr="00023476">
        <w:rPr>
          <w:rFonts w:eastAsiaTheme="minorEastAsia"/>
          <w:szCs w:val="24"/>
          <w:lang w:val="en-US" w:eastAsia="ja-JP"/>
        </w:rPr>
        <w:t>: paid for by – the individual course participant her/himself.</w:t>
      </w:r>
    </w:p>
    <w:p w14:paraId="6CE8F931" w14:textId="77777777" w:rsidR="00023476" w:rsidRDefault="00023476" w:rsidP="00023476">
      <w:pPr>
        <w:widowControl w:val="0"/>
        <w:autoSpaceDE w:val="0"/>
        <w:autoSpaceDN w:val="0"/>
        <w:adjustRightInd w:val="0"/>
        <w:rPr>
          <w:rFonts w:eastAsiaTheme="minorEastAsia"/>
          <w:szCs w:val="24"/>
          <w:lang w:val="en-US" w:eastAsia="ja-JP"/>
        </w:rPr>
      </w:pPr>
    </w:p>
    <w:p w14:paraId="6F6C1E36" w14:textId="4006FDB7" w:rsidR="00023476" w:rsidRPr="00023476" w:rsidRDefault="000D7357" w:rsidP="009A4FC0">
      <w:pPr>
        <w:widowControl w:val="0"/>
        <w:autoSpaceDE w:val="0"/>
        <w:autoSpaceDN w:val="0"/>
        <w:adjustRightInd w:val="0"/>
        <w:rPr>
          <w:szCs w:val="24"/>
        </w:rPr>
      </w:pPr>
      <w:r w:rsidRPr="00E42295">
        <w:rPr>
          <w:rFonts w:eastAsiaTheme="minorEastAsia"/>
          <w:i/>
          <w:szCs w:val="24"/>
          <w:lang w:val="en-US" w:eastAsia="ja-JP"/>
        </w:rPr>
        <w:t>Welcome to Bergen</w:t>
      </w:r>
      <w:r w:rsidR="00CB5DBF" w:rsidRPr="00E42295">
        <w:rPr>
          <w:rFonts w:eastAsiaTheme="minorEastAsia"/>
          <w:i/>
          <w:szCs w:val="24"/>
          <w:lang w:val="en-US" w:eastAsia="ja-JP"/>
        </w:rPr>
        <w:t>!</w:t>
      </w:r>
      <w:r w:rsidR="009A4FC0" w:rsidRPr="00023476">
        <w:rPr>
          <w:szCs w:val="24"/>
        </w:rPr>
        <w:t xml:space="preserve"> </w:t>
      </w:r>
    </w:p>
    <w:sectPr w:rsidR="00023476" w:rsidRPr="00023476" w:rsidSect="006604E4">
      <w:footerReference w:type="even" r:id="rId14"/>
      <w:footerReference w:type="default" r:id="rId15"/>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21CDDD" w14:textId="77777777" w:rsidR="004017BE" w:rsidRDefault="004017BE" w:rsidP="0007435E">
      <w:r>
        <w:separator/>
      </w:r>
    </w:p>
  </w:endnote>
  <w:endnote w:type="continuationSeparator" w:id="0">
    <w:p w14:paraId="3236A63A" w14:textId="77777777" w:rsidR="004017BE" w:rsidRDefault="004017BE" w:rsidP="0007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heSans B7 Bold">
    <w:altName w:val="Copperplate"/>
    <w:charset w:val="00"/>
    <w:family w:val="auto"/>
    <w:pitch w:val="variable"/>
    <w:sig w:usb0="A00000AF" w:usb1="4000204A"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D6934" w14:textId="77777777" w:rsidR="004017BE" w:rsidRDefault="004017BE" w:rsidP="0007435E">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5A99BFFD" w14:textId="77777777" w:rsidR="004017BE" w:rsidRDefault="004017BE" w:rsidP="0007435E">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639EA" w14:textId="77777777" w:rsidR="004017BE" w:rsidRDefault="004017BE" w:rsidP="0007435E">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B4477F">
      <w:rPr>
        <w:rStyle w:val="Sidetall"/>
        <w:noProof/>
      </w:rPr>
      <w:t>7</w:t>
    </w:r>
    <w:r>
      <w:rPr>
        <w:rStyle w:val="Sidetall"/>
      </w:rPr>
      <w:fldChar w:fldCharType="end"/>
    </w:r>
  </w:p>
  <w:p w14:paraId="1D2889E5" w14:textId="77777777" w:rsidR="004017BE" w:rsidRDefault="004017BE" w:rsidP="0007435E">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EE5731" w14:textId="77777777" w:rsidR="004017BE" w:rsidRDefault="004017BE" w:rsidP="0007435E">
      <w:r>
        <w:separator/>
      </w:r>
    </w:p>
  </w:footnote>
  <w:footnote w:type="continuationSeparator" w:id="0">
    <w:p w14:paraId="012CB519" w14:textId="77777777" w:rsidR="004017BE" w:rsidRDefault="004017BE" w:rsidP="000743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35E"/>
    <w:rsid w:val="00001831"/>
    <w:rsid w:val="0001467F"/>
    <w:rsid w:val="00023476"/>
    <w:rsid w:val="00044323"/>
    <w:rsid w:val="000451A9"/>
    <w:rsid w:val="0004673B"/>
    <w:rsid w:val="00071884"/>
    <w:rsid w:val="0007435E"/>
    <w:rsid w:val="00082B8E"/>
    <w:rsid w:val="00083C74"/>
    <w:rsid w:val="00093E73"/>
    <w:rsid w:val="000A41CA"/>
    <w:rsid w:val="000A4EC1"/>
    <w:rsid w:val="000C38FF"/>
    <w:rsid w:val="000D6919"/>
    <w:rsid w:val="000D7357"/>
    <w:rsid w:val="000E14ED"/>
    <w:rsid w:val="000E38A5"/>
    <w:rsid w:val="00122E19"/>
    <w:rsid w:val="00147531"/>
    <w:rsid w:val="00154827"/>
    <w:rsid w:val="00156FD2"/>
    <w:rsid w:val="00161635"/>
    <w:rsid w:val="00186B7F"/>
    <w:rsid w:val="00186C9A"/>
    <w:rsid w:val="00187CD0"/>
    <w:rsid w:val="00190DFC"/>
    <w:rsid w:val="001944EB"/>
    <w:rsid w:val="001A00C6"/>
    <w:rsid w:val="001A3548"/>
    <w:rsid w:val="001A5A26"/>
    <w:rsid w:val="001B0A51"/>
    <w:rsid w:val="001B272A"/>
    <w:rsid w:val="001E0971"/>
    <w:rsid w:val="001F421F"/>
    <w:rsid w:val="001F4A08"/>
    <w:rsid w:val="00201DCD"/>
    <w:rsid w:val="00211EB5"/>
    <w:rsid w:val="00216ACA"/>
    <w:rsid w:val="00234414"/>
    <w:rsid w:val="00251F80"/>
    <w:rsid w:val="00267464"/>
    <w:rsid w:val="00267A2F"/>
    <w:rsid w:val="002720D4"/>
    <w:rsid w:val="00273ECF"/>
    <w:rsid w:val="00276501"/>
    <w:rsid w:val="00277AC0"/>
    <w:rsid w:val="00295FC9"/>
    <w:rsid w:val="002A5EE3"/>
    <w:rsid w:val="002B4809"/>
    <w:rsid w:val="002B5B0B"/>
    <w:rsid w:val="002C3968"/>
    <w:rsid w:val="002D5045"/>
    <w:rsid w:val="002D6B02"/>
    <w:rsid w:val="002F0059"/>
    <w:rsid w:val="002F5AF2"/>
    <w:rsid w:val="002F6C08"/>
    <w:rsid w:val="00320156"/>
    <w:rsid w:val="00323ABD"/>
    <w:rsid w:val="00340A1F"/>
    <w:rsid w:val="00344631"/>
    <w:rsid w:val="00356EA1"/>
    <w:rsid w:val="00394786"/>
    <w:rsid w:val="003B728C"/>
    <w:rsid w:val="003C3320"/>
    <w:rsid w:val="003E316F"/>
    <w:rsid w:val="003E45BC"/>
    <w:rsid w:val="003F5121"/>
    <w:rsid w:val="003F61C1"/>
    <w:rsid w:val="004017BE"/>
    <w:rsid w:val="0042364B"/>
    <w:rsid w:val="00441590"/>
    <w:rsid w:val="00443A2D"/>
    <w:rsid w:val="00443C80"/>
    <w:rsid w:val="004627E7"/>
    <w:rsid w:val="0046378E"/>
    <w:rsid w:val="004663BA"/>
    <w:rsid w:val="004721CF"/>
    <w:rsid w:val="0048027A"/>
    <w:rsid w:val="00480374"/>
    <w:rsid w:val="00490223"/>
    <w:rsid w:val="004B4755"/>
    <w:rsid w:val="004B7013"/>
    <w:rsid w:val="004C436E"/>
    <w:rsid w:val="004C53EF"/>
    <w:rsid w:val="004C69E3"/>
    <w:rsid w:val="004D5477"/>
    <w:rsid w:val="004F130D"/>
    <w:rsid w:val="004F329B"/>
    <w:rsid w:val="005214B8"/>
    <w:rsid w:val="00526582"/>
    <w:rsid w:val="00546B6C"/>
    <w:rsid w:val="005634D1"/>
    <w:rsid w:val="00565DC0"/>
    <w:rsid w:val="0056654F"/>
    <w:rsid w:val="0058271D"/>
    <w:rsid w:val="00593544"/>
    <w:rsid w:val="005A4622"/>
    <w:rsid w:val="005D1DB8"/>
    <w:rsid w:val="005D4DA5"/>
    <w:rsid w:val="005E338A"/>
    <w:rsid w:val="005F45B8"/>
    <w:rsid w:val="00600181"/>
    <w:rsid w:val="006060C6"/>
    <w:rsid w:val="00606F44"/>
    <w:rsid w:val="00623AE7"/>
    <w:rsid w:val="00625CDF"/>
    <w:rsid w:val="00630792"/>
    <w:rsid w:val="00635694"/>
    <w:rsid w:val="006604E4"/>
    <w:rsid w:val="006639BB"/>
    <w:rsid w:val="006651F6"/>
    <w:rsid w:val="0066616C"/>
    <w:rsid w:val="00667A62"/>
    <w:rsid w:val="00670403"/>
    <w:rsid w:val="00675421"/>
    <w:rsid w:val="00692880"/>
    <w:rsid w:val="00694A1D"/>
    <w:rsid w:val="006A1C89"/>
    <w:rsid w:val="006A5DE7"/>
    <w:rsid w:val="006B012C"/>
    <w:rsid w:val="006B02E3"/>
    <w:rsid w:val="006E1F8B"/>
    <w:rsid w:val="006E7AEF"/>
    <w:rsid w:val="006F0197"/>
    <w:rsid w:val="006F358D"/>
    <w:rsid w:val="006F3743"/>
    <w:rsid w:val="007030D9"/>
    <w:rsid w:val="00715B9C"/>
    <w:rsid w:val="007223B1"/>
    <w:rsid w:val="00742F83"/>
    <w:rsid w:val="007460CB"/>
    <w:rsid w:val="007524E4"/>
    <w:rsid w:val="007535C1"/>
    <w:rsid w:val="00774CB8"/>
    <w:rsid w:val="007955E6"/>
    <w:rsid w:val="007A381A"/>
    <w:rsid w:val="007D2C8C"/>
    <w:rsid w:val="007D3564"/>
    <w:rsid w:val="007D5837"/>
    <w:rsid w:val="007F2BC6"/>
    <w:rsid w:val="007F4CAE"/>
    <w:rsid w:val="00807CE8"/>
    <w:rsid w:val="008279A7"/>
    <w:rsid w:val="008327AB"/>
    <w:rsid w:val="00833E2D"/>
    <w:rsid w:val="00837D4B"/>
    <w:rsid w:val="00842E2E"/>
    <w:rsid w:val="00863586"/>
    <w:rsid w:val="008768FC"/>
    <w:rsid w:val="00877659"/>
    <w:rsid w:val="0088590F"/>
    <w:rsid w:val="00895488"/>
    <w:rsid w:val="008B328F"/>
    <w:rsid w:val="008B6B74"/>
    <w:rsid w:val="008C6226"/>
    <w:rsid w:val="008D0DE0"/>
    <w:rsid w:val="008D23D5"/>
    <w:rsid w:val="008D298E"/>
    <w:rsid w:val="008E08E6"/>
    <w:rsid w:val="009113DB"/>
    <w:rsid w:val="00914023"/>
    <w:rsid w:val="00917843"/>
    <w:rsid w:val="00924E1F"/>
    <w:rsid w:val="00934FEB"/>
    <w:rsid w:val="0093752B"/>
    <w:rsid w:val="00940886"/>
    <w:rsid w:val="00940A12"/>
    <w:rsid w:val="0095264F"/>
    <w:rsid w:val="00955207"/>
    <w:rsid w:val="00955C7E"/>
    <w:rsid w:val="00956603"/>
    <w:rsid w:val="00965EE4"/>
    <w:rsid w:val="00995952"/>
    <w:rsid w:val="009A1940"/>
    <w:rsid w:val="009A4FC0"/>
    <w:rsid w:val="009A5B7A"/>
    <w:rsid w:val="009B6130"/>
    <w:rsid w:val="009B70DA"/>
    <w:rsid w:val="009C5C0D"/>
    <w:rsid w:val="009D3AFC"/>
    <w:rsid w:val="009E1429"/>
    <w:rsid w:val="009F45BA"/>
    <w:rsid w:val="00A11C67"/>
    <w:rsid w:val="00A13916"/>
    <w:rsid w:val="00A14EDC"/>
    <w:rsid w:val="00A27814"/>
    <w:rsid w:val="00A31E20"/>
    <w:rsid w:val="00A31F59"/>
    <w:rsid w:val="00A40353"/>
    <w:rsid w:val="00A54546"/>
    <w:rsid w:val="00A6233B"/>
    <w:rsid w:val="00A70041"/>
    <w:rsid w:val="00A72C49"/>
    <w:rsid w:val="00A804AB"/>
    <w:rsid w:val="00A96104"/>
    <w:rsid w:val="00AB0EAB"/>
    <w:rsid w:val="00AB2006"/>
    <w:rsid w:val="00AB6DC5"/>
    <w:rsid w:val="00AE021D"/>
    <w:rsid w:val="00AE1EE5"/>
    <w:rsid w:val="00AE61E1"/>
    <w:rsid w:val="00AF634A"/>
    <w:rsid w:val="00B06050"/>
    <w:rsid w:val="00B169D7"/>
    <w:rsid w:val="00B2084F"/>
    <w:rsid w:val="00B21115"/>
    <w:rsid w:val="00B2116D"/>
    <w:rsid w:val="00B22D53"/>
    <w:rsid w:val="00B428E8"/>
    <w:rsid w:val="00B4477F"/>
    <w:rsid w:val="00B54681"/>
    <w:rsid w:val="00B70A6C"/>
    <w:rsid w:val="00B90B18"/>
    <w:rsid w:val="00B95C7F"/>
    <w:rsid w:val="00BA6945"/>
    <w:rsid w:val="00BB154F"/>
    <w:rsid w:val="00BB2783"/>
    <w:rsid w:val="00BB34AB"/>
    <w:rsid w:val="00BB6805"/>
    <w:rsid w:val="00BC0698"/>
    <w:rsid w:val="00BC4579"/>
    <w:rsid w:val="00BD54A1"/>
    <w:rsid w:val="00BF6C3B"/>
    <w:rsid w:val="00BF7403"/>
    <w:rsid w:val="00C02767"/>
    <w:rsid w:val="00C24432"/>
    <w:rsid w:val="00C2498B"/>
    <w:rsid w:val="00C35568"/>
    <w:rsid w:val="00C44F79"/>
    <w:rsid w:val="00C50591"/>
    <w:rsid w:val="00C651C7"/>
    <w:rsid w:val="00C71727"/>
    <w:rsid w:val="00C77EC4"/>
    <w:rsid w:val="00C909C9"/>
    <w:rsid w:val="00CA4627"/>
    <w:rsid w:val="00CB0A83"/>
    <w:rsid w:val="00CB49E3"/>
    <w:rsid w:val="00CB5DBF"/>
    <w:rsid w:val="00CC6B6A"/>
    <w:rsid w:val="00CC7850"/>
    <w:rsid w:val="00CD0FC9"/>
    <w:rsid w:val="00CE4921"/>
    <w:rsid w:val="00CE49A3"/>
    <w:rsid w:val="00CE5CE4"/>
    <w:rsid w:val="00CF0D03"/>
    <w:rsid w:val="00CF7643"/>
    <w:rsid w:val="00D05142"/>
    <w:rsid w:val="00D06F57"/>
    <w:rsid w:val="00D16E21"/>
    <w:rsid w:val="00D20C15"/>
    <w:rsid w:val="00D25FFB"/>
    <w:rsid w:val="00D574AC"/>
    <w:rsid w:val="00D67928"/>
    <w:rsid w:val="00D917AD"/>
    <w:rsid w:val="00D93068"/>
    <w:rsid w:val="00D974FC"/>
    <w:rsid w:val="00DA7D9B"/>
    <w:rsid w:val="00DB0930"/>
    <w:rsid w:val="00DF042B"/>
    <w:rsid w:val="00DF1B66"/>
    <w:rsid w:val="00DF2366"/>
    <w:rsid w:val="00E04197"/>
    <w:rsid w:val="00E12ADE"/>
    <w:rsid w:val="00E2264C"/>
    <w:rsid w:val="00E27A6F"/>
    <w:rsid w:val="00E42295"/>
    <w:rsid w:val="00E60F6D"/>
    <w:rsid w:val="00E6131A"/>
    <w:rsid w:val="00E70252"/>
    <w:rsid w:val="00E81BB8"/>
    <w:rsid w:val="00E82FD8"/>
    <w:rsid w:val="00E95C00"/>
    <w:rsid w:val="00EB6D85"/>
    <w:rsid w:val="00EE17C2"/>
    <w:rsid w:val="00EE5AFF"/>
    <w:rsid w:val="00F130AE"/>
    <w:rsid w:val="00F30762"/>
    <w:rsid w:val="00F36DDA"/>
    <w:rsid w:val="00F6784C"/>
    <w:rsid w:val="00F70898"/>
    <w:rsid w:val="00F72841"/>
    <w:rsid w:val="00F75243"/>
    <w:rsid w:val="00F771CF"/>
    <w:rsid w:val="00F802F7"/>
    <w:rsid w:val="00F87CEC"/>
    <w:rsid w:val="00F87E1B"/>
    <w:rsid w:val="00F96D86"/>
    <w:rsid w:val="00F976E4"/>
    <w:rsid w:val="00FA6F27"/>
    <w:rsid w:val="00FB1CEE"/>
    <w:rsid w:val="00FB3DB3"/>
    <w:rsid w:val="00FD67D8"/>
    <w:rsid w:val="00FE36F4"/>
    <w:rsid w:val="00FF234D"/>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0589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b-NO"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35E"/>
    <w:rPr>
      <w:rFonts w:ascii="Times New Roman" w:eastAsia="Times New Roman" w:hAnsi="Times New Roman" w:cs="Times New Roman"/>
      <w:sz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autoRedefine/>
    <w:uiPriority w:val="99"/>
    <w:unhideWhenUsed/>
    <w:qFormat/>
    <w:rsid w:val="00A27814"/>
    <w:rPr>
      <w:rFonts w:eastAsiaTheme="minorEastAsia" w:cstheme="minorBidi"/>
      <w:sz w:val="20"/>
      <w:szCs w:val="24"/>
      <w:lang w:eastAsia="ja-JP"/>
    </w:rPr>
  </w:style>
  <w:style w:type="character" w:customStyle="1" w:styleId="FotnotetekstTegn">
    <w:name w:val="Fotnotetekst Tegn"/>
    <w:basedOn w:val="Standardskriftforavsnitt"/>
    <w:link w:val="Fotnotetekst"/>
    <w:uiPriority w:val="99"/>
    <w:rsid w:val="00A27814"/>
    <w:rPr>
      <w:rFonts w:ascii="Times New Roman" w:hAnsi="Times New Roman"/>
      <w:szCs w:val="24"/>
    </w:rPr>
  </w:style>
  <w:style w:type="paragraph" w:styleId="Sluttnotetekst">
    <w:name w:val="endnote text"/>
    <w:basedOn w:val="Normal"/>
    <w:link w:val="SluttnotetekstTegn"/>
    <w:autoRedefine/>
    <w:uiPriority w:val="99"/>
    <w:unhideWhenUsed/>
    <w:qFormat/>
    <w:rsid w:val="0048027A"/>
    <w:rPr>
      <w:rFonts w:eastAsiaTheme="minorEastAsia" w:cstheme="minorBidi"/>
      <w:sz w:val="20"/>
      <w:lang w:eastAsia="ja-JP"/>
    </w:rPr>
  </w:style>
  <w:style w:type="character" w:customStyle="1" w:styleId="SluttnotetekstTegn">
    <w:name w:val="Sluttnotetekst Tegn"/>
    <w:basedOn w:val="Standardskriftforavsnitt"/>
    <w:link w:val="Sluttnotetekst"/>
    <w:uiPriority w:val="99"/>
    <w:rsid w:val="0048027A"/>
    <w:rPr>
      <w:rFonts w:ascii="Times New Roman" w:hAnsi="Times New Roman"/>
    </w:rPr>
  </w:style>
  <w:style w:type="paragraph" w:styleId="Bunntekst">
    <w:name w:val="footer"/>
    <w:basedOn w:val="Normal"/>
    <w:link w:val="BunntekstTegn"/>
    <w:uiPriority w:val="99"/>
    <w:unhideWhenUsed/>
    <w:rsid w:val="0007435E"/>
    <w:pPr>
      <w:tabs>
        <w:tab w:val="center" w:pos="4153"/>
        <w:tab w:val="right" w:pos="8306"/>
      </w:tabs>
    </w:pPr>
  </w:style>
  <w:style w:type="character" w:customStyle="1" w:styleId="BunntekstTegn">
    <w:name w:val="Bunntekst Tegn"/>
    <w:basedOn w:val="Standardskriftforavsnitt"/>
    <w:link w:val="Bunntekst"/>
    <w:uiPriority w:val="99"/>
    <w:rsid w:val="0007435E"/>
    <w:rPr>
      <w:rFonts w:ascii="Times New Roman" w:eastAsia="Times New Roman" w:hAnsi="Times New Roman" w:cs="Times New Roman"/>
      <w:sz w:val="24"/>
      <w:lang w:eastAsia="nb-NO"/>
    </w:rPr>
  </w:style>
  <w:style w:type="character" w:styleId="Sidetall">
    <w:name w:val="page number"/>
    <w:basedOn w:val="Standardskriftforavsnitt"/>
    <w:uiPriority w:val="99"/>
    <w:semiHidden/>
    <w:unhideWhenUsed/>
    <w:rsid w:val="0007435E"/>
  </w:style>
  <w:style w:type="character" w:styleId="Merknadsreferanse">
    <w:name w:val="annotation reference"/>
    <w:basedOn w:val="Standardskriftforavsnitt"/>
    <w:uiPriority w:val="99"/>
    <w:semiHidden/>
    <w:unhideWhenUsed/>
    <w:rsid w:val="009D3AFC"/>
    <w:rPr>
      <w:sz w:val="18"/>
      <w:szCs w:val="18"/>
    </w:rPr>
  </w:style>
  <w:style w:type="paragraph" w:styleId="Merknadstekst">
    <w:name w:val="annotation text"/>
    <w:basedOn w:val="Normal"/>
    <w:link w:val="MerknadstekstTegn"/>
    <w:uiPriority w:val="99"/>
    <w:semiHidden/>
    <w:unhideWhenUsed/>
    <w:rsid w:val="009D3AFC"/>
    <w:rPr>
      <w:szCs w:val="24"/>
    </w:rPr>
  </w:style>
  <w:style w:type="character" w:customStyle="1" w:styleId="MerknadstekstTegn">
    <w:name w:val="Merknadstekst Tegn"/>
    <w:basedOn w:val="Standardskriftforavsnitt"/>
    <w:link w:val="Merknadstekst"/>
    <w:uiPriority w:val="99"/>
    <w:semiHidden/>
    <w:rsid w:val="009D3AFC"/>
    <w:rPr>
      <w:rFonts w:ascii="Times New Roman" w:eastAsia="Times New Roman" w:hAnsi="Times New Roman" w:cs="Times New Roman"/>
      <w:sz w:val="24"/>
      <w:szCs w:val="24"/>
      <w:lang w:eastAsia="nb-NO"/>
    </w:rPr>
  </w:style>
  <w:style w:type="paragraph" w:styleId="Kommentaremne">
    <w:name w:val="annotation subject"/>
    <w:basedOn w:val="Merknadstekst"/>
    <w:next w:val="Merknadstekst"/>
    <w:link w:val="KommentaremneTegn"/>
    <w:uiPriority w:val="99"/>
    <w:semiHidden/>
    <w:unhideWhenUsed/>
    <w:rsid w:val="009D3AFC"/>
    <w:rPr>
      <w:b/>
      <w:bCs/>
      <w:sz w:val="20"/>
      <w:szCs w:val="20"/>
    </w:rPr>
  </w:style>
  <w:style w:type="character" w:customStyle="1" w:styleId="KommentaremneTegn">
    <w:name w:val="Kommentaremne Tegn"/>
    <w:basedOn w:val="MerknadstekstTegn"/>
    <w:link w:val="Kommentaremne"/>
    <w:uiPriority w:val="99"/>
    <w:semiHidden/>
    <w:rsid w:val="009D3AFC"/>
    <w:rPr>
      <w:rFonts w:ascii="Times New Roman" w:eastAsia="Times New Roman" w:hAnsi="Times New Roman" w:cs="Times New Roman"/>
      <w:b/>
      <w:bCs/>
      <w:sz w:val="24"/>
      <w:szCs w:val="24"/>
      <w:lang w:eastAsia="nb-NO"/>
    </w:rPr>
  </w:style>
  <w:style w:type="paragraph" w:styleId="Bobletekst">
    <w:name w:val="Balloon Text"/>
    <w:basedOn w:val="Normal"/>
    <w:link w:val="BobletekstTegn"/>
    <w:uiPriority w:val="99"/>
    <w:semiHidden/>
    <w:unhideWhenUsed/>
    <w:rsid w:val="009D3AFC"/>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9D3AFC"/>
    <w:rPr>
      <w:rFonts w:ascii="Lucida Grande" w:eastAsia="Times New Roman" w:hAnsi="Lucida Grande" w:cs="Lucida Grande"/>
      <w:sz w:val="18"/>
      <w:szCs w:val="18"/>
      <w:lang w:eastAsia="nb-NO"/>
    </w:rPr>
  </w:style>
  <w:style w:type="character" w:styleId="Hyperkobling">
    <w:name w:val="Hyperlink"/>
    <w:basedOn w:val="Standardskriftforavsnitt"/>
    <w:uiPriority w:val="99"/>
    <w:unhideWhenUsed/>
    <w:rsid w:val="00FE36F4"/>
    <w:rPr>
      <w:color w:val="0000FF" w:themeColor="hyperlink"/>
      <w:u w:val="single"/>
    </w:rPr>
  </w:style>
  <w:style w:type="paragraph" w:styleId="Listeavsnitt">
    <w:name w:val="List Paragraph"/>
    <w:basedOn w:val="Normal"/>
    <w:uiPriority w:val="34"/>
    <w:qFormat/>
    <w:rsid w:val="00FE36F4"/>
    <w:pPr>
      <w:ind w:left="720"/>
      <w:contextualSpacing/>
    </w:pPr>
  </w:style>
  <w:style w:type="character" w:customStyle="1" w:styleId="apple-converted-space">
    <w:name w:val="apple-converted-space"/>
    <w:basedOn w:val="Standardskriftforavsnitt"/>
    <w:rsid w:val="00323ABD"/>
  </w:style>
  <w:style w:type="character" w:styleId="Uthevet">
    <w:name w:val="Emphasis"/>
    <w:basedOn w:val="Standardskriftforavsnitt"/>
    <w:uiPriority w:val="20"/>
    <w:qFormat/>
    <w:rsid w:val="00323ABD"/>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b-NO"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35E"/>
    <w:rPr>
      <w:rFonts w:ascii="Times New Roman" w:eastAsia="Times New Roman" w:hAnsi="Times New Roman" w:cs="Times New Roman"/>
      <w:sz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autoRedefine/>
    <w:uiPriority w:val="99"/>
    <w:unhideWhenUsed/>
    <w:qFormat/>
    <w:rsid w:val="00A27814"/>
    <w:rPr>
      <w:rFonts w:eastAsiaTheme="minorEastAsia" w:cstheme="minorBidi"/>
      <w:sz w:val="20"/>
      <w:szCs w:val="24"/>
      <w:lang w:eastAsia="ja-JP"/>
    </w:rPr>
  </w:style>
  <w:style w:type="character" w:customStyle="1" w:styleId="FotnotetekstTegn">
    <w:name w:val="Fotnotetekst Tegn"/>
    <w:basedOn w:val="Standardskriftforavsnitt"/>
    <w:link w:val="Fotnotetekst"/>
    <w:uiPriority w:val="99"/>
    <w:rsid w:val="00A27814"/>
    <w:rPr>
      <w:rFonts w:ascii="Times New Roman" w:hAnsi="Times New Roman"/>
      <w:szCs w:val="24"/>
    </w:rPr>
  </w:style>
  <w:style w:type="paragraph" w:styleId="Sluttnotetekst">
    <w:name w:val="endnote text"/>
    <w:basedOn w:val="Normal"/>
    <w:link w:val="SluttnotetekstTegn"/>
    <w:autoRedefine/>
    <w:uiPriority w:val="99"/>
    <w:unhideWhenUsed/>
    <w:qFormat/>
    <w:rsid w:val="0048027A"/>
    <w:rPr>
      <w:rFonts w:eastAsiaTheme="minorEastAsia" w:cstheme="minorBidi"/>
      <w:sz w:val="20"/>
      <w:lang w:eastAsia="ja-JP"/>
    </w:rPr>
  </w:style>
  <w:style w:type="character" w:customStyle="1" w:styleId="SluttnotetekstTegn">
    <w:name w:val="Sluttnotetekst Tegn"/>
    <w:basedOn w:val="Standardskriftforavsnitt"/>
    <w:link w:val="Sluttnotetekst"/>
    <w:uiPriority w:val="99"/>
    <w:rsid w:val="0048027A"/>
    <w:rPr>
      <w:rFonts w:ascii="Times New Roman" w:hAnsi="Times New Roman"/>
    </w:rPr>
  </w:style>
  <w:style w:type="paragraph" w:styleId="Bunntekst">
    <w:name w:val="footer"/>
    <w:basedOn w:val="Normal"/>
    <w:link w:val="BunntekstTegn"/>
    <w:uiPriority w:val="99"/>
    <w:unhideWhenUsed/>
    <w:rsid w:val="0007435E"/>
    <w:pPr>
      <w:tabs>
        <w:tab w:val="center" w:pos="4153"/>
        <w:tab w:val="right" w:pos="8306"/>
      </w:tabs>
    </w:pPr>
  </w:style>
  <w:style w:type="character" w:customStyle="1" w:styleId="BunntekstTegn">
    <w:name w:val="Bunntekst Tegn"/>
    <w:basedOn w:val="Standardskriftforavsnitt"/>
    <w:link w:val="Bunntekst"/>
    <w:uiPriority w:val="99"/>
    <w:rsid w:val="0007435E"/>
    <w:rPr>
      <w:rFonts w:ascii="Times New Roman" w:eastAsia="Times New Roman" w:hAnsi="Times New Roman" w:cs="Times New Roman"/>
      <w:sz w:val="24"/>
      <w:lang w:eastAsia="nb-NO"/>
    </w:rPr>
  </w:style>
  <w:style w:type="character" w:styleId="Sidetall">
    <w:name w:val="page number"/>
    <w:basedOn w:val="Standardskriftforavsnitt"/>
    <w:uiPriority w:val="99"/>
    <w:semiHidden/>
    <w:unhideWhenUsed/>
    <w:rsid w:val="0007435E"/>
  </w:style>
  <w:style w:type="character" w:styleId="Merknadsreferanse">
    <w:name w:val="annotation reference"/>
    <w:basedOn w:val="Standardskriftforavsnitt"/>
    <w:uiPriority w:val="99"/>
    <w:semiHidden/>
    <w:unhideWhenUsed/>
    <w:rsid w:val="009D3AFC"/>
    <w:rPr>
      <w:sz w:val="18"/>
      <w:szCs w:val="18"/>
    </w:rPr>
  </w:style>
  <w:style w:type="paragraph" w:styleId="Merknadstekst">
    <w:name w:val="annotation text"/>
    <w:basedOn w:val="Normal"/>
    <w:link w:val="MerknadstekstTegn"/>
    <w:uiPriority w:val="99"/>
    <w:semiHidden/>
    <w:unhideWhenUsed/>
    <w:rsid w:val="009D3AFC"/>
    <w:rPr>
      <w:szCs w:val="24"/>
    </w:rPr>
  </w:style>
  <w:style w:type="character" w:customStyle="1" w:styleId="MerknadstekstTegn">
    <w:name w:val="Merknadstekst Tegn"/>
    <w:basedOn w:val="Standardskriftforavsnitt"/>
    <w:link w:val="Merknadstekst"/>
    <w:uiPriority w:val="99"/>
    <w:semiHidden/>
    <w:rsid w:val="009D3AFC"/>
    <w:rPr>
      <w:rFonts w:ascii="Times New Roman" w:eastAsia="Times New Roman" w:hAnsi="Times New Roman" w:cs="Times New Roman"/>
      <w:sz w:val="24"/>
      <w:szCs w:val="24"/>
      <w:lang w:eastAsia="nb-NO"/>
    </w:rPr>
  </w:style>
  <w:style w:type="paragraph" w:styleId="Kommentaremne">
    <w:name w:val="annotation subject"/>
    <w:basedOn w:val="Merknadstekst"/>
    <w:next w:val="Merknadstekst"/>
    <w:link w:val="KommentaremneTegn"/>
    <w:uiPriority w:val="99"/>
    <w:semiHidden/>
    <w:unhideWhenUsed/>
    <w:rsid w:val="009D3AFC"/>
    <w:rPr>
      <w:b/>
      <w:bCs/>
      <w:sz w:val="20"/>
      <w:szCs w:val="20"/>
    </w:rPr>
  </w:style>
  <w:style w:type="character" w:customStyle="1" w:styleId="KommentaremneTegn">
    <w:name w:val="Kommentaremne Tegn"/>
    <w:basedOn w:val="MerknadstekstTegn"/>
    <w:link w:val="Kommentaremne"/>
    <w:uiPriority w:val="99"/>
    <w:semiHidden/>
    <w:rsid w:val="009D3AFC"/>
    <w:rPr>
      <w:rFonts w:ascii="Times New Roman" w:eastAsia="Times New Roman" w:hAnsi="Times New Roman" w:cs="Times New Roman"/>
      <w:b/>
      <w:bCs/>
      <w:sz w:val="24"/>
      <w:szCs w:val="24"/>
      <w:lang w:eastAsia="nb-NO"/>
    </w:rPr>
  </w:style>
  <w:style w:type="paragraph" w:styleId="Bobletekst">
    <w:name w:val="Balloon Text"/>
    <w:basedOn w:val="Normal"/>
    <w:link w:val="BobletekstTegn"/>
    <w:uiPriority w:val="99"/>
    <w:semiHidden/>
    <w:unhideWhenUsed/>
    <w:rsid w:val="009D3AFC"/>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9D3AFC"/>
    <w:rPr>
      <w:rFonts w:ascii="Lucida Grande" w:eastAsia="Times New Roman" w:hAnsi="Lucida Grande" w:cs="Lucida Grande"/>
      <w:sz w:val="18"/>
      <w:szCs w:val="18"/>
      <w:lang w:eastAsia="nb-NO"/>
    </w:rPr>
  </w:style>
  <w:style w:type="character" w:styleId="Hyperkobling">
    <w:name w:val="Hyperlink"/>
    <w:basedOn w:val="Standardskriftforavsnitt"/>
    <w:uiPriority w:val="99"/>
    <w:unhideWhenUsed/>
    <w:rsid w:val="00FE36F4"/>
    <w:rPr>
      <w:color w:val="0000FF" w:themeColor="hyperlink"/>
      <w:u w:val="single"/>
    </w:rPr>
  </w:style>
  <w:style w:type="paragraph" w:styleId="Listeavsnitt">
    <w:name w:val="List Paragraph"/>
    <w:basedOn w:val="Normal"/>
    <w:uiPriority w:val="34"/>
    <w:qFormat/>
    <w:rsid w:val="00FE36F4"/>
    <w:pPr>
      <w:ind w:left="720"/>
      <w:contextualSpacing/>
    </w:pPr>
  </w:style>
  <w:style w:type="character" w:customStyle="1" w:styleId="apple-converted-space">
    <w:name w:val="apple-converted-space"/>
    <w:basedOn w:val="Standardskriftforavsnitt"/>
    <w:rsid w:val="00323ABD"/>
  </w:style>
  <w:style w:type="character" w:styleId="Uthevet">
    <w:name w:val="Emphasis"/>
    <w:basedOn w:val="Standardskriftforavsnitt"/>
    <w:uiPriority w:val="20"/>
    <w:qFormat/>
    <w:rsid w:val="00323A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2117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ars.saetre@uib.no" TargetMode="External"/><Relationship Id="rId12" Type="http://schemas.openxmlformats.org/officeDocument/2006/relationships/hyperlink" Target="https://www.scandichotels.com/hotels/norway/bergen/scandic-neptun" TargetMode="External"/><Relationship Id="rId13" Type="http://schemas.openxmlformats.org/officeDocument/2006/relationships/hyperlink" Target="mailto:lars.saetre@uib.no"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folk.uib.no/hlils/te17/" TargetMode="External"/><Relationship Id="rId8" Type="http://schemas.openxmlformats.org/officeDocument/2006/relationships/hyperlink" Target="http://www.hf.uio.no/ilos/english/people/aca/kstenejo/index.html" TargetMode="External"/><Relationship Id="rId9" Type="http://schemas.openxmlformats.org/officeDocument/2006/relationships/hyperlink" Target="https://www.scandichotels.com/hotels/norway/bergen/scandic-neptun" TargetMode="External"/><Relationship Id="rId10" Type="http://schemas.openxmlformats.org/officeDocument/2006/relationships/hyperlink" Target="mailto:lars.saetre@uib.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752</TotalTime>
  <Pages>7</Pages>
  <Words>3887</Words>
  <Characters>20604</Characters>
  <Application>Microsoft Macintosh Word</Application>
  <DocSecurity>0</DocSecurity>
  <Lines>171</Lines>
  <Paragraphs>48</Paragraphs>
  <ScaleCrop>false</ScaleCrop>
  <Company>Universitetet i Oslo</Company>
  <LinksUpToDate>false</LinksUpToDate>
  <CharactersWithSpaces>24443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Bruker ved UiO</dc:creator>
  <cp:keywords/>
  <dc:description/>
  <cp:lastModifiedBy>Lars Sætre</cp:lastModifiedBy>
  <cp:revision>241</cp:revision>
  <cp:lastPrinted>2016-06-20T13:28:00Z</cp:lastPrinted>
  <dcterms:created xsi:type="dcterms:W3CDTF">2017-01-17T12:23:00Z</dcterms:created>
  <dcterms:modified xsi:type="dcterms:W3CDTF">2017-05-13T03:23:00Z</dcterms:modified>
</cp:coreProperties>
</file>